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C086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2BDC8166">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55D0151">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11465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8DA649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D5216E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29</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255588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29DFF3B">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6F32ABBA">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5F2F99B">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555E6CAD">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27BF99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9241B43">
      <w:pPr>
        <w:pStyle w:val="50"/>
        <w:framePr w:w="9639" w:h="6976" w:hRule="exact" w:hSpace="0" w:vSpace="0" w:wrap="around" w:hAnchor="page" w:y="6408"/>
        <w:jc w:val="center"/>
        <w:rPr>
          <w:rFonts w:ascii="黑体" w:hAnsi="黑体" w:eastAsia="黑体"/>
          <w:b w:val="0"/>
          <w:bCs w:val="0"/>
          <w:w w:val="100"/>
        </w:rPr>
      </w:pPr>
    </w:p>
    <w:p w14:paraId="49368C4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大球盖菇菌种生产技术规程</w:t>
      </w:r>
      <w:r>
        <w:fldChar w:fldCharType="end"/>
      </w:r>
      <w:bookmarkEnd w:id="9"/>
    </w:p>
    <w:p w14:paraId="4CB0E081">
      <w:pPr>
        <w:framePr w:w="9639" w:h="6974" w:hRule="exact" w:wrap="around" w:vAnchor="page" w:hAnchor="page" w:x="1419" w:y="6408" w:anchorLock="1"/>
        <w:ind w:left="-1418"/>
      </w:pPr>
    </w:p>
    <w:p w14:paraId="38A184BD">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regulations for Stropharia rugosoannulata spawn production</w:t>
      </w:r>
      <w:r>
        <w:rPr>
          <w:rFonts w:ascii="黑体" w:hAnsi="黑体" w:eastAsia="黑体"/>
          <w:szCs w:val="28"/>
        </w:rPr>
        <w:fldChar w:fldCharType="end"/>
      </w:r>
      <w:bookmarkEnd w:id="10"/>
    </w:p>
    <w:p w14:paraId="276E1244">
      <w:pPr>
        <w:framePr w:w="9639" w:h="6974" w:hRule="exact" w:wrap="around" w:vAnchor="page" w:hAnchor="page" w:x="1419" w:y="6408" w:anchorLock="1"/>
        <w:spacing w:line="760" w:lineRule="exact"/>
        <w:ind w:left="-1418"/>
      </w:pPr>
    </w:p>
    <w:p w14:paraId="44BF78BE">
      <w:pPr>
        <w:pStyle w:val="125"/>
        <w:framePr w:w="9639" w:h="6974" w:hRule="exact" w:wrap="around" w:vAnchor="page" w:hAnchor="page" w:x="1419" w:y="6408" w:anchorLock="1"/>
        <w:textAlignment w:val="bottom"/>
        <w:rPr>
          <w:rFonts w:eastAsia="黑体"/>
          <w:szCs w:val="28"/>
        </w:rPr>
      </w:pPr>
    </w:p>
    <w:p w14:paraId="0087FA2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B945792">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4F07F1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9486EE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AD3235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1001D91">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CA0928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0708C7E">
      <w:pPr>
        <w:pStyle w:val="89"/>
        <w:numPr>
          <w:ilvl w:val="0"/>
          <w:numId w:val="0"/>
        </w:numPr>
        <w:spacing w:before="900" w:after="468"/>
      </w:pPr>
      <w:bookmarkStart w:id="21" w:name="BookMark2"/>
      <w:r>
        <w:rPr>
          <w:spacing w:val="320"/>
        </w:rPr>
        <w:t>前</w:t>
      </w:r>
      <w:r>
        <w:t>言</w:t>
      </w:r>
    </w:p>
    <w:p w14:paraId="0E546817">
      <w:pPr>
        <w:pStyle w:val="56"/>
        <w:ind w:firstLine="420"/>
      </w:pPr>
      <w:r>
        <w:rPr>
          <w:rFonts w:hint="eastAsia"/>
        </w:rPr>
        <w:t>本文件按照GB/T 1.1—2020《标准化工作导则  第1部分：标准化文件的结构和起草规则》的规定起草。</w:t>
      </w:r>
    </w:p>
    <w:p w14:paraId="7CC14B21">
      <w:pPr>
        <w:pStyle w:val="56"/>
        <w:ind w:firstLine="420"/>
      </w:pPr>
      <w:r>
        <w:rPr>
          <w:rFonts w:hint="eastAsia"/>
        </w:rPr>
        <w:t>请注意本文件的某些内容可能涉及专利。本文件的发布机构不承担识别专利的责任。</w:t>
      </w:r>
    </w:p>
    <w:p w14:paraId="48EB3C7F">
      <w:pPr>
        <w:pStyle w:val="56"/>
        <w:ind w:firstLine="420"/>
      </w:pPr>
      <w:r>
        <w:rPr>
          <w:rFonts w:hint="eastAsia"/>
        </w:rPr>
        <w:t>本文件由江苏省园艺标准化技术委员会</w:t>
      </w:r>
      <w:r>
        <w:rPr>
          <w:rFonts w:hint="eastAsia"/>
          <w:lang w:val="en-US" w:eastAsia="zh-CN"/>
        </w:rPr>
        <w:t>提出、归口并组织实施</w:t>
      </w:r>
      <w:bookmarkStart w:id="46" w:name="_GoBack"/>
      <w:bookmarkEnd w:id="46"/>
      <w:r>
        <w:rPr>
          <w:rFonts w:hint="eastAsia"/>
        </w:rPr>
        <w:t>。</w:t>
      </w:r>
    </w:p>
    <w:p w14:paraId="36F82BF4">
      <w:pPr>
        <w:pStyle w:val="56"/>
        <w:ind w:firstLine="420"/>
      </w:pPr>
      <w:r>
        <w:rPr>
          <w:rFonts w:hint="eastAsia"/>
        </w:rPr>
        <w:t>本文件起草单位：江苏江南生物科技有限公司、江苏省农业科学院、丹阳市园艺推广站、镇江市标准化研究中心。</w:t>
      </w:r>
    </w:p>
    <w:p w14:paraId="0ACC73D2">
      <w:pPr>
        <w:pStyle w:val="56"/>
        <w:ind w:firstLine="420"/>
      </w:pPr>
      <w:r>
        <w:rPr>
          <w:rFonts w:hint="eastAsia"/>
        </w:rPr>
        <w:t>本文件主要起草人：李辉平、姜雅、张凯、曲绍轩、姜建新、曹娟、束霖平、张丹凤、王琳、顾梦婷。</w:t>
      </w:r>
    </w:p>
    <w:p w14:paraId="50784CAC">
      <w:pPr>
        <w:pStyle w:val="56"/>
        <w:ind w:firstLine="420"/>
      </w:pPr>
    </w:p>
    <w:p w14:paraId="70627265">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7DF0D70A">
      <w:pPr>
        <w:spacing w:line="20" w:lineRule="exact"/>
        <w:jc w:val="center"/>
        <w:rPr>
          <w:rFonts w:ascii="黑体" w:hAnsi="黑体" w:eastAsia="黑体"/>
          <w:sz w:val="32"/>
          <w:szCs w:val="32"/>
        </w:rPr>
      </w:pPr>
      <w:bookmarkStart w:id="22" w:name="BookMark4"/>
    </w:p>
    <w:p w14:paraId="1B7692AC">
      <w:pPr>
        <w:spacing w:line="20" w:lineRule="exact"/>
        <w:jc w:val="center"/>
        <w:rPr>
          <w:rFonts w:ascii="黑体" w:hAnsi="黑体" w:eastAsia="黑体"/>
          <w:sz w:val="32"/>
          <w:szCs w:val="32"/>
        </w:rPr>
      </w:pPr>
    </w:p>
    <w:sdt>
      <w:sdtPr>
        <w:tag w:val="NEW_STAND_NAME"/>
        <w:id w:val="595910757"/>
        <w:lock w:val="sdtLocked"/>
        <w:placeholder>
          <w:docPart w:val="0CB91AA7DE93490BB9BADDE3C1AF302C"/>
        </w:placeholder>
      </w:sdtPr>
      <w:sdtContent>
        <w:p w14:paraId="2EE583A9">
          <w:pPr>
            <w:pStyle w:val="177"/>
            <w:spacing w:before="312" w:beforeLines="100" w:after="686" w:afterLines="220"/>
          </w:pPr>
          <w:bookmarkStart w:id="23" w:name="NEW_STAND_NAME"/>
          <w:r>
            <w:rPr>
              <w:rFonts w:hint="eastAsia"/>
            </w:rPr>
            <w:t>大球盖菇菌种生产技术规程</w:t>
          </w:r>
        </w:p>
      </w:sdtContent>
    </w:sdt>
    <w:bookmarkEnd w:id="23"/>
    <w:p w14:paraId="35F8C68F">
      <w:pPr>
        <w:pStyle w:val="104"/>
        <w:spacing w:before="312" w:after="312"/>
      </w:pPr>
      <w:bookmarkStart w:id="24" w:name="_Toc26718930"/>
      <w:bookmarkStart w:id="25" w:name="_Toc24884211"/>
      <w:bookmarkStart w:id="26" w:name="_Toc26986771"/>
      <w:bookmarkStart w:id="27" w:name="_Toc26648465"/>
      <w:bookmarkStart w:id="28" w:name="_Toc26986530"/>
      <w:bookmarkStart w:id="29" w:name="_Toc24884218"/>
      <w:bookmarkStart w:id="30" w:name="_Toc97191423"/>
      <w:bookmarkStart w:id="31" w:name="_Toc17233325"/>
      <w:bookmarkStart w:id="32" w:name="_Toc17233333"/>
      <w:r>
        <w:rPr>
          <w:rFonts w:hint="eastAsia"/>
        </w:rPr>
        <w:t>范围</w:t>
      </w:r>
      <w:bookmarkEnd w:id="24"/>
      <w:bookmarkEnd w:id="25"/>
      <w:bookmarkEnd w:id="26"/>
      <w:bookmarkEnd w:id="27"/>
      <w:bookmarkEnd w:id="28"/>
      <w:bookmarkEnd w:id="29"/>
      <w:bookmarkEnd w:id="30"/>
      <w:bookmarkEnd w:id="31"/>
      <w:bookmarkEnd w:id="32"/>
    </w:p>
    <w:p w14:paraId="187C84C2">
      <w:pPr>
        <w:pStyle w:val="56"/>
        <w:ind w:firstLine="420"/>
      </w:pPr>
      <w:bookmarkStart w:id="33" w:name="_Toc26648466"/>
      <w:bookmarkStart w:id="34" w:name="_Toc17233334"/>
      <w:bookmarkStart w:id="35" w:name="_Toc24884219"/>
      <w:bookmarkStart w:id="36" w:name="_Toc17233326"/>
      <w:bookmarkStart w:id="37" w:name="_Toc24884212"/>
      <w:r>
        <w:t>本文件规定了大球盖菇（</w:t>
      </w:r>
      <w:r>
        <w:rPr>
          <w:i/>
        </w:rPr>
        <w:t>Stropharia rugosoannulata</w:t>
      </w:r>
      <w:r>
        <w:t>）菌种生产的基本要求，母种，原种，栽培种，记录与留样的要求。</w:t>
      </w:r>
    </w:p>
    <w:p w14:paraId="7BFDC869">
      <w:pPr>
        <w:pStyle w:val="56"/>
        <w:ind w:firstLine="420"/>
        <w:rPr>
          <w:color w:val="000000"/>
          <w:szCs w:val="21"/>
        </w:rPr>
      </w:pPr>
      <w:r>
        <w:t>本文件适用于大球盖菇菌种生产。</w:t>
      </w:r>
    </w:p>
    <w:p w14:paraId="4E51BE98">
      <w:pPr>
        <w:pStyle w:val="104"/>
        <w:spacing w:before="312" w:after="312"/>
      </w:pPr>
      <w:bookmarkStart w:id="38" w:name="_Toc97191424"/>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0D95FE40D6BF4F449C3BCCDC59DDBC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09A70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85BA22">
      <w:pPr>
        <w:pStyle w:val="56"/>
        <w:ind w:firstLine="420"/>
      </w:pPr>
      <w:r>
        <w:rPr>
          <w:rFonts w:hint="eastAsia"/>
        </w:rPr>
        <w:t>GB 4806.7  食品安全国家标准 食品接触用塑料材料及制品</w:t>
      </w:r>
    </w:p>
    <w:p w14:paraId="43428ADC">
      <w:pPr>
        <w:pStyle w:val="56"/>
        <w:ind w:firstLine="420"/>
      </w:pPr>
      <w:r>
        <w:rPr>
          <w:rFonts w:hint="eastAsia"/>
        </w:rPr>
        <w:t>GB 5749  生活饮用水卫生标准</w:t>
      </w:r>
    </w:p>
    <w:p w14:paraId="5A5ABC1F">
      <w:pPr>
        <w:pStyle w:val="56"/>
        <w:ind w:firstLine="420"/>
      </w:pPr>
      <w:r>
        <w:rPr>
          <w:rFonts w:hint="eastAsia"/>
        </w:rPr>
        <w:t>NY/T 528  食用菌菌种生产技术规程</w:t>
      </w:r>
    </w:p>
    <w:p w14:paraId="65EFCAA6">
      <w:pPr>
        <w:pStyle w:val="104"/>
        <w:spacing w:before="312" w:after="312"/>
      </w:pPr>
      <w:bookmarkStart w:id="42" w:name="_Toc97191425"/>
      <w:r>
        <w:rPr>
          <w:rFonts w:hint="eastAsia"/>
          <w:szCs w:val="21"/>
        </w:rPr>
        <w:t>术语和定义</w:t>
      </w:r>
      <w:bookmarkEnd w:id="42"/>
    </w:p>
    <w:sdt>
      <w:sdtPr>
        <w:id w:val="-1909835108"/>
        <w:placeholder>
          <w:docPart w:val="8C1D2A151A7B402BBEB10C1A9C4C41C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3E36E5">
          <w:pPr>
            <w:pStyle w:val="56"/>
            <w:ind w:firstLine="420"/>
          </w:pPr>
          <w:bookmarkStart w:id="43" w:name="_Toc26986532"/>
          <w:bookmarkEnd w:id="43"/>
          <w:r>
            <w:t>本文件没有需要界定的术语和定义。</w:t>
          </w:r>
        </w:p>
      </w:sdtContent>
    </w:sdt>
    <w:p w14:paraId="53E00FA2">
      <w:pPr>
        <w:pStyle w:val="104"/>
        <w:spacing w:before="312" w:after="312"/>
      </w:pPr>
      <w:r>
        <w:rPr>
          <w:rFonts w:hint="eastAsia"/>
        </w:rPr>
        <w:t>基本要求</w:t>
      </w:r>
    </w:p>
    <w:p w14:paraId="55C4A5AC">
      <w:pPr>
        <w:pStyle w:val="56"/>
        <w:ind w:firstLine="420"/>
      </w:pPr>
      <w:r>
        <w:rPr>
          <w:rFonts w:hint="eastAsia"/>
        </w:rPr>
        <w:t>技术人员、场地选择、厂房设置和布局、设备设施、使用品种和种源应符合NY/T 528的规定。</w:t>
      </w:r>
    </w:p>
    <w:p w14:paraId="74149FEE">
      <w:pPr>
        <w:pStyle w:val="104"/>
        <w:spacing w:before="312" w:after="312"/>
      </w:pPr>
      <w:r>
        <w:rPr>
          <w:rFonts w:hint="eastAsia"/>
        </w:rPr>
        <w:t>母种</w:t>
      </w:r>
    </w:p>
    <w:p w14:paraId="5648759B">
      <w:pPr>
        <w:pStyle w:val="105"/>
        <w:spacing w:before="156" w:after="156"/>
      </w:pPr>
      <w:r>
        <w:rPr>
          <w:rFonts w:hint="eastAsia"/>
        </w:rPr>
        <w:t>容器</w:t>
      </w:r>
    </w:p>
    <w:p w14:paraId="34D496CC">
      <w:pPr>
        <w:pStyle w:val="56"/>
        <w:ind w:firstLine="420"/>
      </w:pPr>
      <w:r>
        <w:rPr>
          <w:rFonts w:hint="eastAsia"/>
        </w:rPr>
        <w:t>宜使用18 mm×180 mm或20 mm×200 mm玻璃试管。</w:t>
      </w:r>
    </w:p>
    <w:p w14:paraId="5AA9E1A1">
      <w:pPr>
        <w:pStyle w:val="105"/>
        <w:spacing w:before="156" w:after="156"/>
      </w:pPr>
      <w:r>
        <w:rPr>
          <w:rFonts w:hint="eastAsia"/>
        </w:rPr>
        <w:t>培养基</w:t>
      </w:r>
    </w:p>
    <w:p w14:paraId="4241CF4E">
      <w:pPr>
        <w:pStyle w:val="56"/>
        <w:ind w:firstLine="420"/>
      </w:pPr>
      <w:r>
        <w:rPr>
          <w:rFonts w:hint="eastAsia"/>
        </w:rPr>
        <w:t>马铃薯葡萄糖琼脂培养基（PDA）：马铃薯200 g（浸出汁），葡萄糖20 g，琼脂20 g，水1000 mL，pH自然。</w:t>
      </w:r>
    </w:p>
    <w:p w14:paraId="71BAB9CD">
      <w:pPr>
        <w:pStyle w:val="105"/>
        <w:spacing w:before="156" w:after="156"/>
      </w:pPr>
      <w:r>
        <w:rPr>
          <w:rFonts w:hint="eastAsia"/>
        </w:rPr>
        <w:t>配置灭菌</w:t>
      </w:r>
    </w:p>
    <w:p w14:paraId="2376DED7">
      <w:pPr>
        <w:pStyle w:val="56"/>
        <w:ind w:firstLine="420"/>
      </w:pPr>
      <w:r>
        <w:rPr>
          <w:rFonts w:hint="eastAsia"/>
        </w:rPr>
        <w:t>培养基分装量不超过试管容量1/4，121℃灭菌30 min。</w:t>
      </w:r>
    </w:p>
    <w:p w14:paraId="224FB134">
      <w:pPr>
        <w:pStyle w:val="105"/>
        <w:spacing w:before="156" w:after="156"/>
      </w:pPr>
      <w:r>
        <w:rPr>
          <w:rFonts w:hint="eastAsia"/>
        </w:rPr>
        <w:t>冷却</w:t>
      </w:r>
    </w:p>
    <w:p w14:paraId="664DDC39">
      <w:pPr>
        <w:pStyle w:val="56"/>
        <w:ind w:firstLine="420"/>
      </w:pPr>
      <w:r>
        <w:rPr>
          <w:rFonts w:hint="eastAsia"/>
        </w:rPr>
        <w:t>灭菌结束后温度降至65℃±5℃时，在洁净的环境中摆斜面，斜面长度不超过试管长度的2/3。斜面凝固后，按NY/T 528的规定进行试管灭菌效果检验。</w:t>
      </w:r>
    </w:p>
    <w:p w14:paraId="540669B9">
      <w:pPr>
        <w:pStyle w:val="105"/>
        <w:spacing w:before="156" w:after="156"/>
      </w:pPr>
      <w:r>
        <w:rPr>
          <w:rFonts w:hint="eastAsia"/>
        </w:rPr>
        <w:t>接种培养</w:t>
      </w:r>
    </w:p>
    <w:p w14:paraId="1512B115">
      <w:pPr>
        <w:pStyle w:val="56"/>
        <w:ind w:firstLine="420"/>
      </w:pPr>
      <w:r>
        <w:rPr>
          <w:rFonts w:hint="eastAsia"/>
        </w:rPr>
        <w:t>按NY/T 528的规定执行，做好标记。接种后试管置于23℃～25℃下避光培养，待菌丝长满斜面2/3以上。</w:t>
      </w:r>
    </w:p>
    <w:p w14:paraId="09202210">
      <w:pPr>
        <w:pStyle w:val="104"/>
        <w:spacing w:before="312" w:after="312"/>
      </w:pPr>
      <w:r>
        <w:rPr>
          <w:rFonts w:hint="eastAsia"/>
        </w:rPr>
        <w:t>原种</w:t>
      </w:r>
    </w:p>
    <w:p w14:paraId="30C77277">
      <w:pPr>
        <w:pStyle w:val="105"/>
        <w:spacing w:before="156" w:after="156"/>
      </w:pPr>
      <w:r>
        <w:rPr>
          <w:rFonts w:hint="eastAsia"/>
        </w:rPr>
        <w:t>固体原种</w:t>
      </w:r>
    </w:p>
    <w:p w14:paraId="6E7F10FA">
      <w:pPr>
        <w:pStyle w:val="65"/>
        <w:spacing w:before="156" w:after="156"/>
      </w:pPr>
      <w:r>
        <w:rPr>
          <w:rFonts w:hint="eastAsia"/>
        </w:rPr>
        <w:t>容器</w:t>
      </w:r>
    </w:p>
    <w:p w14:paraId="1BBB272E">
      <w:pPr>
        <w:pStyle w:val="56"/>
        <w:ind w:firstLine="420"/>
      </w:pPr>
      <w:r>
        <w:rPr>
          <w:rFonts w:hint="eastAsia"/>
        </w:rPr>
        <w:t>符合NY/T 528的规定，塑料制品符合GB 4806.7的规定。</w:t>
      </w:r>
    </w:p>
    <w:p w14:paraId="75DAD9F6">
      <w:pPr>
        <w:pStyle w:val="65"/>
        <w:spacing w:before="156" w:after="156"/>
      </w:pPr>
      <w:r>
        <w:rPr>
          <w:rFonts w:hint="eastAsia"/>
        </w:rPr>
        <w:t>培养料</w:t>
      </w:r>
    </w:p>
    <w:p w14:paraId="67E8B2CB">
      <w:pPr>
        <w:pStyle w:val="56"/>
        <w:ind w:firstLine="420"/>
      </w:pPr>
      <w:r>
        <w:rPr>
          <w:rFonts w:hint="eastAsia"/>
        </w:rPr>
        <w:t>宜使用但不限于以下配方：</w:t>
      </w:r>
    </w:p>
    <w:p w14:paraId="651FFC79">
      <w:pPr>
        <w:pStyle w:val="174"/>
        <w:rPr>
          <w:rFonts w:hAnsi="宋体"/>
        </w:rPr>
      </w:pPr>
      <w:r>
        <w:rPr>
          <w:rFonts w:ascii="Times New Roman"/>
        </w:rPr>
        <w:t>谷</w:t>
      </w:r>
      <w:r>
        <w:rPr>
          <w:rFonts w:hAnsi="宋体"/>
        </w:rPr>
        <w:t>粒98</w:t>
      </w:r>
      <w:r>
        <w:rPr>
          <w:rFonts w:ascii="Times New Roman"/>
        </w:rPr>
        <w:t>％</w:t>
      </w:r>
      <w:r>
        <w:rPr>
          <w:rFonts w:hAnsi="宋体"/>
        </w:rPr>
        <w:t>，碳酸钙2</w:t>
      </w:r>
      <w:r>
        <w:rPr>
          <w:rFonts w:ascii="Times New Roman"/>
        </w:rPr>
        <w:t>％</w:t>
      </w:r>
      <w:r>
        <w:rPr>
          <w:rFonts w:hAnsi="宋体"/>
        </w:rPr>
        <w:t>，含水量60</w:t>
      </w:r>
      <w:r>
        <w:rPr>
          <w:rFonts w:ascii="Times New Roman"/>
        </w:rPr>
        <w:t>％</w:t>
      </w:r>
      <w:r>
        <w:rPr>
          <w:rFonts w:hAnsi="宋体"/>
        </w:rPr>
        <w:t>～62</w:t>
      </w:r>
      <w:r>
        <w:rPr>
          <w:rFonts w:ascii="Times New Roman"/>
        </w:rPr>
        <w:t>％</w:t>
      </w:r>
      <w:r>
        <w:rPr>
          <w:rFonts w:hAnsi="宋体"/>
        </w:rPr>
        <w:t>。</w:t>
      </w:r>
    </w:p>
    <w:p w14:paraId="172588EC">
      <w:pPr>
        <w:pStyle w:val="174"/>
        <w:rPr>
          <w:rFonts w:hAnsi="宋体"/>
        </w:rPr>
      </w:pPr>
      <w:r>
        <w:rPr>
          <w:rFonts w:hAnsi="宋体"/>
        </w:rPr>
        <w:t>木屑78</w:t>
      </w:r>
      <w:r>
        <w:rPr>
          <w:rFonts w:ascii="Times New Roman"/>
        </w:rPr>
        <w:t>％</w:t>
      </w:r>
      <w:r>
        <w:rPr>
          <w:rFonts w:hAnsi="宋体"/>
        </w:rPr>
        <w:t>，麸皮20</w:t>
      </w:r>
      <w:r>
        <w:rPr>
          <w:rFonts w:ascii="Times New Roman"/>
        </w:rPr>
        <w:t>％</w:t>
      </w:r>
      <w:r>
        <w:rPr>
          <w:rFonts w:hAnsi="宋体"/>
        </w:rPr>
        <w:t>，碳酸钙2</w:t>
      </w:r>
      <w:r>
        <w:rPr>
          <w:rFonts w:ascii="Times New Roman"/>
        </w:rPr>
        <w:t>％</w:t>
      </w:r>
      <w:r>
        <w:rPr>
          <w:rFonts w:hAnsi="宋体"/>
        </w:rPr>
        <w:t>，含水量60</w:t>
      </w:r>
      <w:r>
        <w:rPr>
          <w:rFonts w:ascii="Times New Roman"/>
        </w:rPr>
        <w:t>％</w:t>
      </w:r>
      <w:r>
        <w:rPr>
          <w:rFonts w:hAnsi="宋体"/>
        </w:rPr>
        <w:t>～62</w:t>
      </w:r>
      <w:r>
        <w:rPr>
          <w:rFonts w:ascii="Times New Roman"/>
        </w:rPr>
        <w:t>％</w:t>
      </w:r>
      <w:r>
        <w:rPr>
          <w:rFonts w:hAnsi="宋体"/>
        </w:rPr>
        <w:t>。</w:t>
      </w:r>
    </w:p>
    <w:p w14:paraId="16028CD8">
      <w:pPr>
        <w:pStyle w:val="65"/>
        <w:spacing w:before="156" w:after="156"/>
      </w:pPr>
      <w:r>
        <w:rPr>
          <w:rFonts w:hint="eastAsia"/>
        </w:rPr>
        <w:t>配制灭菌</w:t>
      </w:r>
    </w:p>
    <w:p w14:paraId="7AE1FC67">
      <w:pPr>
        <w:pStyle w:val="56"/>
        <w:ind w:firstLine="420"/>
      </w:pPr>
      <w:r>
        <w:rPr>
          <w:rFonts w:hint="eastAsia"/>
        </w:rPr>
        <w:t>按NY/T 528的规定配制后分装入原种瓶（袋），121℃～123℃灭菌2 h。</w:t>
      </w:r>
    </w:p>
    <w:p w14:paraId="4A9CF5A0">
      <w:pPr>
        <w:pStyle w:val="65"/>
        <w:spacing w:before="156" w:after="156"/>
      </w:pPr>
      <w:r>
        <w:rPr>
          <w:rFonts w:hint="eastAsia"/>
        </w:rPr>
        <w:t>接种培养</w:t>
      </w:r>
    </w:p>
    <w:p w14:paraId="0287DEDC">
      <w:pPr>
        <w:pStyle w:val="56"/>
        <w:ind w:firstLine="420"/>
        <w:rPr>
          <w:rFonts w:hAnsi="宋体"/>
        </w:rPr>
      </w:pPr>
      <w:r>
        <w:rPr>
          <w:rFonts w:hAnsi="宋体"/>
        </w:rPr>
        <w:t>料温冷却至26℃以下，按NY/T 528的规定接种，做好标记。接种后置于培养室，23℃～25℃遮光培养，空气相对湿度保持在55％～65％，二氧化碳浓度低于0.5</w:t>
      </w:r>
      <w:r>
        <w:rPr>
          <w:rFonts w:ascii="Times New Roman"/>
        </w:rPr>
        <w:t>％</w:t>
      </w:r>
      <w:r>
        <w:rPr>
          <w:rFonts w:hAnsi="宋体"/>
        </w:rPr>
        <w:t>，当菌丝长满瓶（袋）时结束培养。培养期间按NY/T 528要求定期检查。</w:t>
      </w:r>
    </w:p>
    <w:p w14:paraId="317D4855">
      <w:pPr>
        <w:pStyle w:val="65"/>
        <w:spacing w:before="156" w:after="156"/>
      </w:pPr>
      <w:r>
        <w:rPr>
          <w:rFonts w:hint="eastAsia"/>
        </w:rPr>
        <w:t>质量检验</w:t>
      </w:r>
    </w:p>
    <w:p w14:paraId="2E4CB761">
      <w:pPr>
        <w:pStyle w:val="56"/>
        <w:ind w:firstLine="420"/>
      </w:pPr>
      <w:r>
        <w:rPr>
          <w:rFonts w:hint="eastAsia"/>
        </w:rPr>
        <w:t>培养完成后对菌种进行质量检验，检查要求应符合附录A的规定。</w:t>
      </w:r>
    </w:p>
    <w:p w14:paraId="5023CE31">
      <w:pPr>
        <w:pStyle w:val="105"/>
        <w:spacing w:before="156" w:after="156"/>
      </w:pPr>
      <w:r>
        <w:rPr>
          <w:rFonts w:hint="eastAsia"/>
        </w:rPr>
        <w:t>液体原种</w:t>
      </w:r>
    </w:p>
    <w:p w14:paraId="08AA125C">
      <w:pPr>
        <w:pStyle w:val="65"/>
        <w:spacing w:before="156" w:after="156"/>
      </w:pPr>
      <w:r>
        <w:rPr>
          <w:rFonts w:hint="eastAsia"/>
        </w:rPr>
        <w:t>摇瓶液体原种</w:t>
      </w:r>
    </w:p>
    <w:p w14:paraId="7F8EFDC1">
      <w:pPr>
        <w:pStyle w:val="94"/>
        <w:spacing w:before="156" w:after="156"/>
      </w:pPr>
      <w:r>
        <w:rPr>
          <w:rFonts w:hint="eastAsia"/>
        </w:rPr>
        <w:t>培养基</w:t>
      </w:r>
    </w:p>
    <w:p w14:paraId="2BA9C701">
      <w:pPr>
        <w:pStyle w:val="56"/>
        <w:ind w:firstLine="420"/>
      </w:pPr>
      <w:r>
        <w:rPr>
          <w:rFonts w:hint="eastAsia"/>
        </w:rPr>
        <w:t>马铃薯200 g（浸出液）、稻壳100 g（浸出液）、葡萄糖20 g、磷酸二氢钾2 g、硫酸镁0.5 g、加水至1000 mL，pH 自然。</w:t>
      </w:r>
    </w:p>
    <w:p w14:paraId="2B444ECD">
      <w:pPr>
        <w:pStyle w:val="94"/>
        <w:spacing w:before="156" w:after="156"/>
      </w:pPr>
      <w:r>
        <w:rPr>
          <w:rFonts w:hint="eastAsia"/>
        </w:rPr>
        <w:t>配制灭菌</w:t>
      </w:r>
    </w:p>
    <w:p w14:paraId="768FD55A">
      <w:pPr>
        <w:pStyle w:val="56"/>
        <w:ind w:firstLine="420"/>
      </w:pPr>
      <w:r>
        <w:rPr>
          <w:rFonts w:hint="eastAsia"/>
        </w:rPr>
        <w:t>马铃薯和稻壳煮汁过滤后，加入葡萄糖、磷酸二氢钾、硫酸镁，加水至1000 mL 搅拌均匀，装入摇瓶，装液量不超过摇瓶容量的2/5。装好的摇瓶放入高压灭菌锅内灭菌，121℃下灭菌30 min。</w:t>
      </w:r>
    </w:p>
    <w:p w14:paraId="06F8D775">
      <w:pPr>
        <w:pStyle w:val="94"/>
        <w:spacing w:before="156" w:after="156"/>
      </w:pPr>
      <w:r>
        <w:rPr>
          <w:rFonts w:hint="eastAsia"/>
        </w:rPr>
        <w:t>接种培养</w:t>
      </w:r>
    </w:p>
    <w:p w14:paraId="136E5D6D">
      <w:pPr>
        <w:pStyle w:val="56"/>
        <w:ind w:firstLine="420"/>
      </w:pPr>
      <w:r>
        <w:rPr>
          <w:rFonts w:hint="eastAsia"/>
        </w:rPr>
        <w:t>培养基温度降至26℃以下，严格按照无菌操作程序，将母种块切割成3 mm～5 mm颗粒，接入待接种摇瓶培养基内，每100 mL 液体培养基接种10粒。接种后在25℃环境下静置培养2 d，待接入的菌种块萌发出白色菌丝体后，置于振荡培养箱，25℃下150 rpm振荡培养5 d～7 d。</w:t>
      </w:r>
    </w:p>
    <w:p w14:paraId="0C02E1BD">
      <w:pPr>
        <w:pStyle w:val="94"/>
        <w:spacing w:before="156" w:after="156"/>
      </w:pPr>
      <w:r>
        <w:rPr>
          <w:rFonts w:hint="eastAsia"/>
        </w:rPr>
        <w:t>质量检验</w:t>
      </w:r>
    </w:p>
    <w:p w14:paraId="659AB98B">
      <w:pPr>
        <w:pStyle w:val="56"/>
        <w:ind w:firstLine="420"/>
      </w:pPr>
      <w:r>
        <w:rPr>
          <w:rFonts w:hint="eastAsia"/>
        </w:rPr>
        <w:t>培养完成后对菌种进行质量检验，检验要求应符合附录B的规定。</w:t>
      </w:r>
    </w:p>
    <w:p w14:paraId="7BCCF7F0">
      <w:pPr>
        <w:pStyle w:val="65"/>
        <w:spacing w:before="156" w:after="156"/>
      </w:pPr>
      <w:r>
        <w:rPr>
          <w:rFonts w:hint="eastAsia"/>
        </w:rPr>
        <w:t>发酵罐液体原种</w:t>
      </w:r>
    </w:p>
    <w:p w14:paraId="0150A85B">
      <w:pPr>
        <w:pStyle w:val="94"/>
        <w:spacing w:before="156" w:after="156"/>
      </w:pPr>
      <w:r>
        <w:rPr>
          <w:rFonts w:hint="eastAsia"/>
        </w:rPr>
        <w:t>培养基</w:t>
      </w:r>
    </w:p>
    <w:p w14:paraId="0E574968">
      <w:pPr>
        <w:pStyle w:val="56"/>
        <w:ind w:firstLine="420"/>
      </w:pPr>
      <w:r>
        <w:rPr>
          <w:rFonts w:hint="eastAsia"/>
        </w:rPr>
        <w:t>参考配方：按照每1000 mL水加入玉米粉7.5 g、黄豆粉5 g、葡萄糖20 g、蛋白胨2 g、磷酸二氢钾1 g、硫酸镁0.5 g比例配制。</w:t>
      </w:r>
    </w:p>
    <w:p w14:paraId="45A7E3EA">
      <w:pPr>
        <w:pStyle w:val="94"/>
        <w:spacing w:before="156" w:after="156"/>
      </w:pPr>
      <w:r>
        <w:rPr>
          <w:rFonts w:hint="eastAsia"/>
        </w:rPr>
        <w:t>配制灭菌</w:t>
      </w:r>
    </w:p>
    <w:p w14:paraId="54DF51C6">
      <w:pPr>
        <w:pStyle w:val="56"/>
        <w:ind w:firstLine="420"/>
      </w:pPr>
      <w:r>
        <w:rPr>
          <w:rFonts w:hint="eastAsia"/>
        </w:rPr>
        <w:t>原料搅拌均匀，不应有结块，转入发酵罐内，装液量不超过罐体容量的70</w:t>
      </w:r>
      <w:r>
        <w:rPr>
          <w:rFonts w:ascii="Times New Roman"/>
        </w:rPr>
        <w:t>％</w:t>
      </w:r>
      <w:r>
        <w:rPr>
          <w:rFonts w:hint="eastAsia"/>
        </w:rPr>
        <w:t>，加入0.03</w:t>
      </w:r>
      <w:r>
        <w:rPr>
          <w:rFonts w:ascii="Times New Roman"/>
        </w:rPr>
        <w:t>％</w:t>
      </w:r>
      <w:r>
        <w:rPr>
          <w:rFonts w:hint="eastAsia"/>
        </w:rPr>
        <w:t>消泡剂。121℃ 灭菌90 min。生产用水应符合GB 5749的规定。</w:t>
      </w:r>
    </w:p>
    <w:p w14:paraId="1650FF49">
      <w:pPr>
        <w:pStyle w:val="94"/>
        <w:spacing w:before="156" w:after="156"/>
      </w:pPr>
      <w:r>
        <w:rPr>
          <w:rFonts w:hint="eastAsia"/>
        </w:rPr>
        <w:t>接种培养</w:t>
      </w:r>
    </w:p>
    <w:p w14:paraId="3C5E4BA4">
      <w:pPr>
        <w:pStyle w:val="56"/>
        <w:ind w:firstLine="420"/>
      </w:pPr>
      <w:r>
        <w:rPr>
          <w:rFonts w:hint="eastAsia"/>
        </w:rPr>
        <w:t>培养基温度降至26℃以下，维持罐体压力在0.03 MPa，快速接入摇瓶菌种。接种量为罐内培养基总体积的0.1</w:t>
      </w:r>
      <w:r>
        <w:rPr>
          <w:rFonts w:ascii="Times New Roman"/>
        </w:rPr>
        <w:t>％</w:t>
      </w:r>
      <w:r>
        <w:rPr>
          <w:rFonts w:hint="eastAsia"/>
        </w:rPr>
        <w:t>～0.2</w:t>
      </w:r>
      <w:r>
        <w:rPr>
          <w:rFonts w:ascii="Times New Roman"/>
        </w:rPr>
        <w:t>％</w:t>
      </w:r>
      <w:r>
        <w:rPr>
          <w:rFonts w:hint="eastAsia"/>
        </w:rPr>
        <w:t>。维持罐体压力在0.03 M</w:t>
      </w:r>
      <w:r>
        <w:t>P</w:t>
      </w:r>
      <w:r>
        <w:rPr>
          <w:rFonts w:hint="eastAsia"/>
        </w:rPr>
        <w:t>a，温度25 ℃，搅拌状态下培养7 d～10 d。</w:t>
      </w:r>
    </w:p>
    <w:p w14:paraId="0888AE4B">
      <w:pPr>
        <w:pStyle w:val="94"/>
        <w:spacing w:before="156" w:after="156"/>
      </w:pPr>
      <w:r>
        <w:rPr>
          <w:rFonts w:hint="eastAsia"/>
        </w:rPr>
        <w:t>质量检验</w:t>
      </w:r>
    </w:p>
    <w:p w14:paraId="7E93334E">
      <w:pPr>
        <w:pStyle w:val="56"/>
        <w:ind w:firstLine="420"/>
      </w:pPr>
      <w:r>
        <w:rPr>
          <w:rFonts w:hint="eastAsia"/>
        </w:rPr>
        <w:t>培养完成后对菌种进行质量检验，检验要求应符合附录B的规定。</w:t>
      </w:r>
    </w:p>
    <w:p w14:paraId="70244326">
      <w:pPr>
        <w:pStyle w:val="104"/>
        <w:spacing w:before="312" w:after="312"/>
      </w:pPr>
      <w:r>
        <w:rPr>
          <w:rFonts w:hint="eastAsia"/>
        </w:rPr>
        <w:t>栽培种</w:t>
      </w:r>
    </w:p>
    <w:p w14:paraId="3A3106E9">
      <w:pPr>
        <w:pStyle w:val="105"/>
        <w:spacing w:before="156" w:after="156"/>
      </w:pPr>
      <w:r>
        <w:rPr>
          <w:rFonts w:hint="eastAsia"/>
        </w:rPr>
        <w:t>容器</w:t>
      </w:r>
    </w:p>
    <w:p w14:paraId="05E2E719">
      <w:pPr>
        <w:pStyle w:val="56"/>
        <w:ind w:firstLine="420"/>
      </w:pPr>
      <w:r>
        <w:rPr>
          <w:rFonts w:hint="eastAsia"/>
        </w:rPr>
        <w:t>应符合NY/T 528的规定。宜使用17 cm×35 cm×0.005 cm 规格的聚丙烯塑料袋，塑料制品符合GB 4806.7的规定。</w:t>
      </w:r>
    </w:p>
    <w:p w14:paraId="6CC86460">
      <w:pPr>
        <w:pStyle w:val="105"/>
        <w:spacing w:before="156" w:after="156"/>
      </w:pPr>
      <w:r>
        <w:rPr>
          <w:rFonts w:hint="eastAsia"/>
        </w:rPr>
        <w:t>培养料</w:t>
      </w:r>
    </w:p>
    <w:p w14:paraId="5EBF9CDA">
      <w:pPr>
        <w:pStyle w:val="56"/>
        <w:ind w:firstLine="420"/>
      </w:pPr>
      <w:r>
        <w:rPr>
          <w:rFonts w:hint="eastAsia"/>
        </w:rPr>
        <w:t>宜使用但不限于以下配方:</w:t>
      </w:r>
    </w:p>
    <w:p w14:paraId="77F13946">
      <w:pPr>
        <w:pStyle w:val="174"/>
        <w:numPr>
          <w:ilvl w:val="0"/>
          <w:numId w:val="32"/>
        </w:numPr>
      </w:pPr>
      <w:r>
        <w:rPr>
          <w:rFonts w:hint="eastAsia"/>
        </w:rPr>
        <w:t>杂木屑</w:t>
      </w:r>
      <w:r>
        <w:t>43</w:t>
      </w:r>
      <w:r>
        <w:rPr>
          <w:rFonts w:ascii="Times New Roman"/>
        </w:rPr>
        <w:t>％</w:t>
      </w:r>
      <w:r>
        <w:rPr>
          <w:rFonts w:hint="eastAsia"/>
        </w:rPr>
        <w:t>，稻壳30</w:t>
      </w:r>
      <w:r>
        <w:rPr>
          <w:rFonts w:ascii="Times New Roman"/>
        </w:rPr>
        <w:t>％</w:t>
      </w:r>
      <w:r>
        <w:rPr>
          <w:rFonts w:hint="eastAsia"/>
        </w:rPr>
        <w:t>，玉米芯20</w:t>
      </w:r>
      <w:r>
        <w:rPr>
          <w:rFonts w:ascii="Times New Roman"/>
        </w:rPr>
        <w:t>％</w:t>
      </w:r>
      <w:r>
        <w:rPr>
          <w:rFonts w:hint="eastAsia"/>
        </w:rPr>
        <w:t>，麸皮或米糠5</w:t>
      </w:r>
      <w:r>
        <w:rPr>
          <w:rFonts w:ascii="Times New Roman"/>
        </w:rPr>
        <w:t>％</w:t>
      </w:r>
      <w:r>
        <w:rPr>
          <w:rFonts w:hint="eastAsia"/>
        </w:rPr>
        <w:t>，石膏1</w:t>
      </w:r>
      <w:r>
        <w:rPr>
          <w:rFonts w:ascii="Times New Roman"/>
        </w:rPr>
        <w:t>％</w:t>
      </w:r>
      <w:r>
        <w:rPr>
          <w:rFonts w:hint="eastAsia"/>
        </w:rPr>
        <w:t>，石灰1</w:t>
      </w:r>
      <w:r>
        <w:rPr>
          <w:rFonts w:ascii="Times New Roman"/>
        </w:rPr>
        <w:t>％</w:t>
      </w:r>
      <w:r>
        <w:rPr>
          <w:rFonts w:hint="eastAsia"/>
        </w:rPr>
        <w:t>，含水量63</w:t>
      </w:r>
      <w:r>
        <w:rPr>
          <w:rFonts w:ascii="Times New Roman"/>
        </w:rPr>
        <w:t>％</w:t>
      </w:r>
      <w:r>
        <w:rPr>
          <w:rFonts w:hint="eastAsia"/>
        </w:rPr>
        <w:t>～65</w:t>
      </w:r>
      <w:r>
        <w:rPr>
          <w:rFonts w:ascii="Times New Roman"/>
        </w:rPr>
        <w:t>％</w:t>
      </w:r>
      <w:r>
        <w:rPr>
          <w:rFonts w:hint="eastAsia"/>
        </w:rPr>
        <w:t>。</w:t>
      </w:r>
    </w:p>
    <w:p w14:paraId="7C2F29B6">
      <w:pPr>
        <w:pStyle w:val="174"/>
      </w:pPr>
      <w:r>
        <w:rPr>
          <w:rFonts w:hint="eastAsia"/>
        </w:rPr>
        <w:t>杂木屑76</w:t>
      </w:r>
      <w:r>
        <w:rPr>
          <w:rFonts w:ascii="Times New Roman"/>
        </w:rPr>
        <w:t>％</w:t>
      </w:r>
      <w:r>
        <w:rPr>
          <w:rFonts w:hint="eastAsia"/>
        </w:rPr>
        <w:t>，稻壳20</w:t>
      </w:r>
      <w:r>
        <w:rPr>
          <w:rFonts w:ascii="Times New Roman"/>
        </w:rPr>
        <w:t>％</w:t>
      </w:r>
      <w:r>
        <w:rPr>
          <w:rFonts w:hint="eastAsia"/>
        </w:rPr>
        <w:t>，黄豆粉2</w:t>
      </w:r>
      <w:r>
        <w:rPr>
          <w:rFonts w:ascii="Times New Roman"/>
        </w:rPr>
        <w:t>％</w:t>
      </w:r>
      <w:r>
        <w:rPr>
          <w:rFonts w:hint="eastAsia"/>
        </w:rPr>
        <w:t>，石灰1</w:t>
      </w:r>
      <w:r>
        <w:rPr>
          <w:rFonts w:ascii="Times New Roman"/>
        </w:rPr>
        <w:t>％</w:t>
      </w:r>
      <w:r>
        <w:rPr>
          <w:rFonts w:hint="eastAsia"/>
        </w:rPr>
        <w:t>，石膏1</w:t>
      </w:r>
      <w:r>
        <w:rPr>
          <w:rFonts w:ascii="Times New Roman"/>
        </w:rPr>
        <w:t>％</w:t>
      </w:r>
      <w:r>
        <w:rPr>
          <w:rFonts w:hint="eastAsia"/>
        </w:rPr>
        <w:t>，含水量63</w:t>
      </w:r>
      <w:r>
        <w:rPr>
          <w:rFonts w:ascii="Times New Roman"/>
        </w:rPr>
        <w:t>％</w:t>
      </w:r>
      <w:r>
        <w:rPr>
          <w:rFonts w:hint="eastAsia"/>
        </w:rPr>
        <w:t>～65</w:t>
      </w:r>
      <w:r>
        <w:rPr>
          <w:rFonts w:ascii="Times New Roman"/>
        </w:rPr>
        <w:t>％</w:t>
      </w:r>
      <w:r>
        <w:rPr>
          <w:rFonts w:hint="eastAsia"/>
        </w:rPr>
        <w:t>。</w:t>
      </w:r>
    </w:p>
    <w:p w14:paraId="386031EA">
      <w:pPr>
        <w:pStyle w:val="105"/>
        <w:spacing w:before="156" w:after="156"/>
      </w:pPr>
      <w:r>
        <w:rPr>
          <w:rFonts w:hint="eastAsia"/>
        </w:rPr>
        <w:t>配制灭菌</w:t>
      </w:r>
    </w:p>
    <w:p w14:paraId="5D67AF27">
      <w:pPr>
        <w:pStyle w:val="56"/>
        <w:ind w:firstLine="420"/>
      </w:pPr>
      <w:r>
        <w:rPr>
          <w:rFonts w:hint="eastAsia"/>
        </w:rPr>
        <w:t>按NY/T 528的规定配制后分装入菌种袋，121℃～123℃灭菌2 h。</w:t>
      </w:r>
    </w:p>
    <w:p w14:paraId="6DB76081">
      <w:pPr>
        <w:pStyle w:val="105"/>
        <w:spacing w:before="156" w:after="156"/>
      </w:pPr>
      <w:r>
        <w:rPr>
          <w:rFonts w:hint="eastAsia"/>
        </w:rPr>
        <w:t>接种培养</w:t>
      </w:r>
    </w:p>
    <w:p w14:paraId="2EFE1FF0">
      <w:pPr>
        <w:pStyle w:val="56"/>
        <w:ind w:firstLine="420"/>
      </w:pPr>
      <w:r>
        <w:rPr>
          <w:rFonts w:hint="eastAsia"/>
        </w:rPr>
        <w:t>灭菌结束后在冷却室冷却至25℃以下。固体原种接种按NY/T 528 的规定执行。发酵罐液体原种用液体菌种接种器接种，每袋接种量20 mL～30 mL，封口并贴好标签。接种后置于培养室，23℃～25℃遮光培养，空气相对湿度保持在55％～65％，二氧化碳浓度低于0.5</w:t>
      </w:r>
      <w:r>
        <w:rPr>
          <w:rFonts w:ascii="Times New Roman"/>
        </w:rPr>
        <w:t>％</w:t>
      </w:r>
      <w:r>
        <w:rPr>
          <w:rFonts w:hint="eastAsia"/>
        </w:rPr>
        <w:t>，待菌丝长满菌袋。培养期间按NY/T 528的规定定期检查。</w:t>
      </w:r>
    </w:p>
    <w:p w14:paraId="661C0364">
      <w:pPr>
        <w:pStyle w:val="105"/>
        <w:spacing w:before="156" w:after="156"/>
      </w:pPr>
      <w:r>
        <w:rPr>
          <w:rFonts w:hint="eastAsia"/>
        </w:rPr>
        <w:t>质量检验</w:t>
      </w:r>
    </w:p>
    <w:p w14:paraId="5BBAFEEC">
      <w:pPr>
        <w:pStyle w:val="56"/>
        <w:ind w:firstLine="420"/>
      </w:pPr>
      <w:r>
        <w:rPr>
          <w:rFonts w:hint="eastAsia"/>
        </w:rPr>
        <w:t>培养完成后对菌种进行质量检验，检验要求应符合附录A的规定。</w:t>
      </w:r>
    </w:p>
    <w:p w14:paraId="2FD29DA5">
      <w:pPr>
        <w:pStyle w:val="105"/>
        <w:spacing w:before="156" w:after="156"/>
      </w:pPr>
      <w:r>
        <w:rPr>
          <w:rFonts w:hint="eastAsia"/>
        </w:rPr>
        <w:t>储藏</w:t>
      </w:r>
    </w:p>
    <w:p w14:paraId="3DF68AB9">
      <w:pPr>
        <w:pStyle w:val="56"/>
        <w:ind w:firstLine="420"/>
      </w:pPr>
      <w:r>
        <w:rPr>
          <w:rFonts w:hint="eastAsia"/>
        </w:rPr>
        <w:t>完成培养后，菌种应在4℃冷库内储藏，时间不应超过30 d。</w:t>
      </w:r>
    </w:p>
    <w:p w14:paraId="3634B57F">
      <w:pPr>
        <w:pStyle w:val="104"/>
        <w:spacing w:before="312" w:after="312"/>
      </w:pPr>
      <w:r>
        <w:rPr>
          <w:rFonts w:hint="eastAsia"/>
        </w:rPr>
        <w:t>记录与留样</w:t>
      </w:r>
    </w:p>
    <w:p w14:paraId="1F239E42">
      <w:pPr>
        <w:pStyle w:val="56"/>
        <w:ind w:firstLine="420"/>
      </w:pPr>
      <w:r>
        <w:rPr>
          <w:rFonts w:hint="eastAsia"/>
        </w:rPr>
        <w:t>各级菌种按NY/T 528的规定建立生产记录并留样，档案保留2年以上。</w:t>
      </w:r>
    </w:p>
    <w:p w14:paraId="5CCCBAF1">
      <w:pPr>
        <w:pStyle w:val="56"/>
        <w:ind w:firstLine="420"/>
      </w:pPr>
    </w:p>
    <w:p w14:paraId="352CA1E4">
      <w:pPr>
        <w:pStyle w:val="56"/>
        <w:ind w:firstLine="420"/>
      </w:pPr>
    </w:p>
    <w:p w14:paraId="0C4B88B7">
      <w:pPr>
        <w:pStyle w:val="56"/>
        <w:ind w:firstLine="420"/>
      </w:pPr>
    </w:p>
    <w:p w14:paraId="48C882A3">
      <w:pPr>
        <w:pStyle w:val="56"/>
        <w:ind w:firstLine="420"/>
      </w:pPr>
    </w:p>
    <w:p w14:paraId="4F487CDB">
      <w:pPr>
        <w:pStyle w:val="56"/>
        <w:ind w:firstLine="420"/>
      </w:pPr>
    </w:p>
    <w:p w14:paraId="3EC050DD">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22"/>
    <w:p w14:paraId="5ABD8B52">
      <w:pPr>
        <w:pStyle w:val="198"/>
        <w:rPr>
          <w:vanish w:val="0"/>
        </w:rPr>
      </w:pPr>
      <w:bookmarkStart w:id="44" w:name="BookMark5"/>
    </w:p>
    <w:p w14:paraId="216CFB8A">
      <w:pPr>
        <w:pStyle w:val="199"/>
        <w:rPr>
          <w:vanish w:val="0"/>
        </w:rPr>
      </w:pPr>
    </w:p>
    <w:p w14:paraId="3E0C3DC3">
      <w:pPr>
        <w:pStyle w:val="76"/>
        <w:spacing w:after="156"/>
      </w:pPr>
      <w:r>
        <w:br w:type="textWrapping"/>
      </w:r>
      <w:r>
        <w:rPr>
          <w:rFonts w:hint="eastAsia"/>
        </w:rPr>
        <w:t>（规范性）</w:t>
      </w:r>
      <w:r>
        <w:br w:type="textWrapping"/>
      </w:r>
      <w:r>
        <w:rPr>
          <w:rFonts w:hint="eastAsia"/>
        </w:rPr>
        <w:t>固体菌种质量要求</w:t>
      </w:r>
    </w:p>
    <w:p w14:paraId="7FC6083F">
      <w:pPr>
        <w:pStyle w:val="56"/>
        <w:ind w:firstLine="420"/>
        <w:rPr>
          <w:color w:val="000000"/>
          <w:sz w:val="24"/>
          <w:szCs w:val="32"/>
        </w:rPr>
      </w:pPr>
      <w:r>
        <w:rPr>
          <w:rFonts w:hint="eastAsia"/>
        </w:rPr>
        <w:t>固体菌种</w:t>
      </w:r>
      <w:r>
        <w:t>质量</w:t>
      </w:r>
      <w:r>
        <w:rPr>
          <w:rFonts w:hint="eastAsia"/>
        </w:rPr>
        <w:t>要求见表</w:t>
      </w:r>
      <w:r>
        <w:t>A.1。</w:t>
      </w:r>
    </w:p>
    <w:p w14:paraId="052C9D91">
      <w:pPr>
        <w:pStyle w:val="77"/>
        <w:spacing w:before="156" w:after="156"/>
      </w:pPr>
      <w:r>
        <w:t>固体菌种质量</w:t>
      </w:r>
      <w:r>
        <w:rPr>
          <w:rFonts w:hint="eastAsia"/>
        </w:rPr>
        <w:t>要求</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172"/>
        <w:gridCol w:w="5082"/>
        <w:gridCol w:w="2316"/>
      </w:tblGrid>
      <w:tr w14:paraId="7356CA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shd w:val="clear" w:color="auto" w:fill="auto"/>
            <w:vAlign w:val="center"/>
          </w:tcPr>
          <w:p w14:paraId="0B1F94E2">
            <w:pPr>
              <w:pStyle w:val="230"/>
              <w:ind w:firstLine="0" w:firstLineChars="0"/>
              <w:jc w:val="center"/>
              <w:rPr>
                <w:rFonts w:ascii="黑体" w:hAnsi="黑体" w:eastAsia="黑体"/>
                <w:color w:val="000000"/>
                <w:sz w:val="18"/>
                <w:szCs w:val="18"/>
              </w:rPr>
            </w:pPr>
            <w:r>
              <w:rPr>
                <w:rFonts w:ascii="黑体" w:hAnsi="黑体" w:eastAsia="黑体"/>
                <w:color w:val="000000"/>
                <w:sz w:val="18"/>
                <w:szCs w:val="18"/>
              </w:rPr>
              <w:t>项目</w:t>
            </w:r>
          </w:p>
        </w:tc>
        <w:tc>
          <w:tcPr>
            <w:tcW w:w="2655" w:type="pct"/>
            <w:shd w:val="clear" w:color="auto" w:fill="auto"/>
            <w:vAlign w:val="center"/>
          </w:tcPr>
          <w:p w14:paraId="559F5AF9">
            <w:pPr>
              <w:pStyle w:val="230"/>
              <w:ind w:firstLine="0" w:firstLineChars="0"/>
              <w:jc w:val="center"/>
              <w:rPr>
                <w:rFonts w:ascii="黑体" w:hAnsi="黑体" w:eastAsia="黑体"/>
                <w:color w:val="000000"/>
                <w:sz w:val="18"/>
                <w:szCs w:val="18"/>
              </w:rPr>
            </w:pPr>
            <w:r>
              <w:rPr>
                <w:rFonts w:ascii="黑体" w:hAnsi="黑体" w:eastAsia="黑体"/>
                <w:color w:val="000000"/>
                <w:sz w:val="18"/>
                <w:szCs w:val="18"/>
              </w:rPr>
              <w:t>指标</w:t>
            </w:r>
          </w:p>
        </w:tc>
        <w:tc>
          <w:tcPr>
            <w:tcW w:w="1210" w:type="pct"/>
            <w:shd w:val="clear" w:color="auto" w:fill="auto"/>
            <w:vAlign w:val="center"/>
          </w:tcPr>
          <w:p w14:paraId="5D71D720">
            <w:pPr>
              <w:pStyle w:val="230"/>
              <w:ind w:firstLine="0" w:firstLineChars="0"/>
              <w:jc w:val="center"/>
              <w:rPr>
                <w:rFonts w:ascii="黑体" w:hAnsi="黑体" w:eastAsia="黑体"/>
                <w:color w:val="000000"/>
                <w:sz w:val="18"/>
                <w:szCs w:val="18"/>
              </w:rPr>
            </w:pPr>
            <w:r>
              <w:rPr>
                <w:rFonts w:ascii="黑体" w:hAnsi="黑体" w:eastAsia="黑体"/>
                <w:color w:val="000000"/>
                <w:sz w:val="18"/>
                <w:szCs w:val="18"/>
              </w:rPr>
              <w:t>检验方法</w:t>
            </w:r>
          </w:p>
        </w:tc>
      </w:tr>
      <w:tr w14:paraId="01A4AE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shd w:val="clear" w:color="auto" w:fill="auto"/>
            <w:vAlign w:val="center"/>
          </w:tcPr>
          <w:p w14:paraId="63981617">
            <w:pPr>
              <w:pStyle w:val="230"/>
              <w:ind w:firstLine="0" w:firstLineChars="0"/>
              <w:jc w:val="center"/>
              <w:rPr>
                <w:rFonts w:hAnsi="宋体"/>
                <w:color w:val="000000"/>
                <w:sz w:val="18"/>
                <w:szCs w:val="18"/>
              </w:rPr>
            </w:pPr>
            <w:r>
              <w:rPr>
                <w:rFonts w:hAnsi="宋体"/>
                <w:color w:val="000000"/>
                <w:sz w:val="18"/>
                <w:szCs w:val="18"/>
              </w:rPr>
              <w:t>容器外观</w:t>
            </w:r>
          </w:p>
        </w:tc>
        <w:tc>
          <w:tcPr>
            <w:tcW w:w="2655" w:type="pct"/>
            <w:shd w:val="clear" w:color="auto" w:fill="auto"/>
            <w:vAlign w:val="center"/>
          </w:tcPr>
          <w:p w14:paraId="5C944B18">
            <w:pPr>
              <w:pStyle w:val="230"/>
              <w:ind w:firstLine="0" w:firstLineChars="0"/>
              <w:jc w:val="left"/>
              <w:rPr>
                <w:rFonts w:hAnsi="宋体"/>
                <w:color w:val="000000"/>
                <w:sz w:val="18"/>
                <w:szCs w:val="18"/>
              </w:rPr>
            </w:pPr>
            <w:r>
              <w:rPr>
                <w:rFonts w:hAnsi="宋体"/>
                <w:color w:val="000000"/>
                <w:sz w:val="18"/>
                <w:szCs w:val="18"/>
              </w:rPr>
              <w:t>菌袋干净，无破损。塞子干燥，无破损。</w:t>
            </w:r>
          </w:p>
        </w:tc>
        <w:tc>
          <w:tcPr>
            <w:tcW w:w="1210" w:type="pct"/>
            <w:shd w:val="clear" w:color="auto" w:fill="auto"/>
            <w:vAlign w:val="center"/>
          </w:tcPr>
          <w:p w14:paraId="4011B049">
            <w:pPr>
              <w:pStyle w:val="230"/>
              <w:ind w:firstLine="0" w:firstLineChars="0"/>
              <w:jc w:val="center"/>
              <w:rPr>
                <w:rFonts w:hAnsi="宋体"/>
                <w:color w:val="000000"/>
                <w:sz w:val="18"/>
                <w:szCs w:val="18"/>
              </w:rPr>
            </w:pPr>
            <w:r>
              <w:rPr>
                <w:rFonts w:hAnsi="宋体"/>
                <w:color w:val="000000"/>
                <w:sz w:val="18"/>
                <w:szCs w:val="18"/>
              </w:rPr>
              <w:t>肉眼观察</w:t>
            </w:r>
          </w:p>
        </w:tc>
      </w:tr>
      <w:tr w14:paraId="5D432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shd w:val="clear" w:color="auto" w:fill="auto"/>
            <w:vAlign w:val="center"/>
          </w:tcPr>
          <w:p w14:paraId="25D38103">
            <w:pPr>
              <w:pStyle w:val="230"/>
              <w:ind w:firstLine="0" w:firstLineChars="0"/>
              <w:jc w:val="center"/>
              <w:rPr>
                <w:rFonts w:hAnsi="宋体"/>
                <w:color w:val="000000"/>
                <w:sz w:val="18"/>
                <w:szCs w:val="18"/>
              </w:rPr>
            </w:pPr>
            <w:r>
              <w:rPr>
                <w:rFonts w:hAnsi="宋体"/>
                <w:color w:val="000000"/>
                <w:sz w:val="18"/>
                <w:szCs w:val="18"/>
              </w:rPr>
              <w:t>菌丝生长量</w:t>
            </w:r>
          </w:p>
        </w:tc>
        <w:tc>
          <w:tcPr>
            <w:tcW w:w="2655" w:type="pct"/>
            <w:shd w:val="clear" w:color="auto" w:fill="auto"/>
            <w:vAlign w:val="center"/>
          </w:tcPr>
          <w:p w14:paraId="3E0917F3">
            <w:pPr>
              <w:pStyle w:val="230"/>
              <w:ind w:firstLine="0" w:firstLineChars="0"/>
              <w:jc w:val="left"/>
              <w:rPr>
                <w:rFonts w:hAnsi="宋体"/>
                <w:color w:val="000000"/>
                <w:sz w:val="18"/>
                <w:szCs w:val="18"/>
              </w:rPr>
            </w:pPr>
            <w:r>
              <w:rPr>
                <w:rFonts w:hAnsi="宋体"/>
                <w:color w:val="000000"/>
                <w:sz w:val="18"/>
                <w:szCs w:val="18"/>
              </w:rPr>
              <w:t>菌丝洁白，长满培养料。</w:t>
            </w:r>
          </w:p>
        </w:tc>
        <w:tc>
          <w:tcPr>
            <w:tcW w:w="1210" w:type="pct"/>
            <w:shd w:val="clear" w:color="auto" w:fill="auto"/>
            <w:vAlign w:val="center"/>
          </w:tcPr>
          <w:p w14:paraId="7DE88BAB">
            <w:pPr>
              <w:pStyle w:val="230"/>
              <w:ind w:firstLine="0" w:firstLineChars="0"/>
              <w:jc w:val="center"/>
              <w:rPr>
                <w:rFonts w:hAnsi="宋体"/>
                <w:color w:val="000000"/>
                <w:sz w:val="18"/>
                <w:szCs w:val="18"/>
              </w:rPr>
            </w:pPr>
            <w:r>
              <w:rPr>
                <w:rFonts w:hAnsi="宋体"/>
                <w:color w:val="000000"/>
                <w:sz w:val="18"/>
                <w:szCs w:val="18"/>
              </w:rPr>
              <w:t>肉眼观察</w:t>
            </w:r>
          </w:p>
        </w:tc>
      </w:tr>
      <w:tr w14:paraId="2001CD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shd w:val="clear" w:color="auto" w:fill="auto"/>
            <w:vAlign w:val="center"/>
          </w:tcPr>
          <w:p w14:paraId="73F2DADD">
            <w:pPr>
              <w:pStyle w:val="230"/>
              <w:ind w:firstLine="0" w:firstLineChars="0"/>
              <w:jc w:val="center"/>
              <w:rPr>
                <w:rFonts w:hAnsi="宋体"/>
                <w:color w:val="000000"/>
                <w:sz w:val="18"/>
                <w:szCs w:val="18"/>
              </w:rPr>
            </w:pPr>
            <w:r>
              <w:rPr>
                <w:rFonts w:hAnsi="宋体"/>
                <w:color w:val="000000"/>
                <w:sz w:val="18"/>
                <w:szCs w:val="18"/>
              </w:rPr>
              <w:t>气味</w:t>
            </w:r>
          </w:p>
        </w:tc>
        <w:tc>
          <w:tcPr>
            <w:tcW w:w="2655" w:type="pct"/>
            <w:shd w:val="clear" w:color="auto" w:fill="auto"/>
            <w:vAlign w:val="center"/>
          </w:tcPr>
          <w:p w14:paraId="46C3459F">
            <w:pPr>
              <w:pStyle w:val="230"/>
              <w:ind w:firstLine="0" w:firstLineChars="0"/>
              <w:jc w:val="left"/>
              <w:rPr>
                <w:rFonts w:hAnsi="宋体"/>
                <w:color w:val="000000"/>
                <w:sz w:val="18"/>
                <w:szCs w:val="18"/>
              </w:rPr>
            </w:pPr>
            <w:r>
              <w:rPr>
                <w:rFonts w:hAnsi="宋体"/>
                <w:color w:val="000000"/>
                <w:sz w:val="18"/>
                <w:szCs w:val="18"/>
              </w:rPr>
              <w:t>无异味。</w:t>
            </w:r>
          </w:p>
        </w:tc>
        <w:tc>
          <w:tcPr>
            <w:tcW w:w="1210" w:type="pct"/>
            <w:shd w:val="clear" w:color="auto" w:fill="auto"/>
            <w:vAlign w:val="center"/>
          </w:tcPr>
          <w:p w14:paraId="4C52CFFC">
            <w:pPr>
              <w:pStyle w:val="230"/>
              <w:ind w:firstLine="0" w:firstLineChars="0"/>
              <w:jc w:val="center"/>
              <w:rPr>
                <w:rFonts w:hAnsi="宋体"/>
                <w:color w:val="000000"/>
                <w:sz w:val="18"/>
                <w:szCs w:val="18"/>
              </w:rPr>
            </w:pPr>
            <w:r>
              <w:rPr>
                <w:rFonts w:hAnsi="宋体"/>
                <w:color w:val="000000"/>
                <w:sz w:val="18"/>
                <w:szCs w:val="18"/>
              </w:rPr>
              <w:t>鼻嗅</w:t>
            </w:r>
          </w:p>
        </w:tc>
      </w:tr>
      <w:tr w14:paraId="0D4832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vMerge w:val="restart"/>
            <w:shd w:val="clear" w:color="auto" w:fill="auto"/>
            <w:vAlign w:val="center"/>
          </w:tcPr>
          <w:p w14:paraId="0039DC6D">
            <w:pPr>
              <w:pStyle w:val="230"/>
              <w:ind w:firstLine="0" w:firstLineChars="0"/>
              <w:jc w:val="center"/>
              <w:rPr>
                <w:rFonts w:hAnsi="宋体"/>
                <w:color w:val="000000"/>
                <w:sz w:val="18"/>
                <w:szCs w:val="18"/>
              </w:rPr>
            </w:pPr>
            <w:r>
              <w:rPr>
                <w:rFonts w:hAnsi="宋体"/>
                <w:color w:val="000000"/>
                <w:sz w:val="18"/>
                <w:szCs w:val="18"/>
              </w:rPr>
              <w:t>菌袋外观</w:t>
            </w:r>
          </w:p>
        </w:tc>
        <w:tc>
          <w:tcPr>
            <w:tcW w:w="2655" w:type="pct"/>
            <w:shd w:val="clear" w:color="auto" w:fill="auto"/>
            <w:vAlign w:val="center"/>
          </w:tcPr>
          <w:p w14:paraId="46C9F3A6">
            <w:pPr>
              <w:pStyle w:val="230"/>
              <w:ind w:firstLine="0" w:firstLineChars="0"/>
              <w:jc w:val="left"/>
              <w:rPr>
                <w:rFonts w:hAnsi="宋体"/>
                <w:color w:val="000000"/>
                <w:sz w:val="18"/>
                <w:szCs w:val="18"/>
              </w:rPr>
            </w:pPr>
            <w:r>
              <w:rPr>
                <w:rFonts w:hAnsi="宋体"/>
                <w:color w:val="000000"/>
                <w:sz w:val="18"/>
                <w:szCs w:val="18"/>
              </w:rPr>
              <w:t>培养基贴壁，不收缩；</w:t>
            </w:r>
          </w:p>
        </w:tc>
        <w:tc>
          <w:tcPr>
            <w:tcW w:w="1210" w:type="pct"/>
            <w:vMerge w:val="restart"/>
            <w:shd w:val="clear" w:color="auto" w:fill="auto"/>
            <w:vAlign w:val="center"/>
          </w:tcPr>
          <w:p w14:paraId="4C950E08">
            <w:pPr>
              <w:pStyle w:val="230"/>
              <w:ind w:firstLine="0" w:firstLineChars="0"/>
              <w:jc w:val="center"/>
              <w:rPr>
                <w:rFonts w:hAnsi="宋体"/>
                <w:color w:val="000000"/>
                <w:sz w:val="18"/>
                <w:szCs w:val="18"/>
              </w:rPr>
            </w:pPr>
            <w:r>
              <w:rPr>
                <w:rFonts w:hAnsi="宋体"/>
                <w:color w:val="000000"/>
                <w:sz w:val="18"/>
                <w:szCs w:val="18"/>
              </w:rPr>
              <w:t>肉眼观察</w:t>
            </w:r>
          </w:p>
        </w:tc>
      </w:tr>
      <w:tr w14:paraId="79A1A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vMerge w:val="continue"/>
            <w:shd w:val="clear" w:color="auto" w:fill="auto"/>
            <w:vAlign w:val="center"/>
          </w:tcPr>
          <w:p w14:paraId="25BCD04A">
            <w:pPr>
              <w:pStyle w:val="230"/>
              <w:ind w:firstLine="0" w:firstLineChars="0"/>
              <w:jc w:val="center"/>
              <w:rPr>
                <w:rFonts w:hAnsi="宋体"/>
                <w:color w:val="000000"/>
                <w:sz w:val="18"/>
                <w:szCs w:val="18"/>
              </w:rPr>
            </w:pPr>
          </w:p>
        </w:tc>
        <w:tc>
          <w:tcPr>
            <w:tcW w:w="2655" w:type="pct"/>
            <w:shd w:val="clear" w:color="auto" w:fill="auto"/>
            <w:vAlign w:val="center"/>
          </w:tcPr>
          <w:p w14:paraId="578F7734">
            <w:pPr>
              <w:pStyle w:val="230"/>
              <w:ind w:firstLine="0" w:firstLineChars="0"/>
              <w:jc w:val="left"/>
              <w:rPr>
                <w:rFonts w:hAnsi="宋体"/>
                <w:color w:val="000000"/>
                <w:sz w:val="18"/>
                <w:szCs w:val="18"/>
              </w:rPr>
            </w:pPr>
            <w:r>
              <w:rPr>
                <w:rFonts w:hAnsi="宋体"/>
                <w:color w:val="000000"/>
                <w:sz w:val="18"/>
                <w:szCs w:val="18"/>
              </w:rPr>
              <w:t>无杂菌菌落，无虫、螨；</w:t>
            </w:r>
          </w:p>
        </w:tc>
        <w:tc>
          <w:tcPr>
            <w:tcW w:w="1210" w:type="pct"/>
            <w:vMerge w:val="continue"/>
            <w:shd w:val="clear" w:color="auto" w:fill="auto"/>
            <w:vAlign w:val="center"/>
          </w:tcPr>
          <w:p w14:paraId="35DCFB4E">
            <w:pPr>
              <w:pStyle w:val="230"/>
              <w:ind w:firstLine="0" w:firstLineChars="0"/>
              <w:jc w:val="center"/>
              <w:rPr>
                <w:rFonts w:hAnsi="宋体"/>
                <w:color w:val="000000"/>
                <w:sz w:val="18"/>
                <w:szCs w:val="18"/>
              </w:rPr>
            </w:pPr>
          </w:p>
        </w:tc>
      </w:tr>
      <w:tr w14:paraId="7C850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vMerge w:val="continue"/>
            <w:shd w:val="clear" w:color="auto" w:fill="auto"/>
            <w:vAlign w:val="center"/>
          </w:tcPr>
          <w:p w14:paraId="4A2A7D76">
            <w:pPr>
              <w:pStyle w:val="230"/>
              <w:ind w:firstLine="0" w:firstLineChars="0"/>
              <w:jc w:val="center"/>
              <w:rPr>
                <w:rFonts w:hAnsi="宋体"/>
                <w:color w:val="000000"/>
                <w:sz w:val="18"/>
                <w:szCs w:val="18"/>
              </w:rPr>
            </w:pPr>
          </w:p>
        </w:tc>
        <w:tc>
          <w:tcPr>
            <w:tcW w:w="2655" w:type="pct"/>
            <w:shd w:val="clear" w:color="auto" w:fill="auto"/>
            <w:vAlign w:val="center"/>
          </w:tcPr>
          <w:p w14:paraId="5B1BFCF2">
            <w:pPr>
              <w:pStyle w:val="230"/>
              <w:ind w:firstLine="0" w:firstLineChars="0"/>
              <w:jc w:val="left"/>
              <w:rPr>
                <w:rFonts w:hAnsi="宋体"/>
                <w:color w:val="000000"/>
                <w:sz w:val="18"/>
                <w:szCs w:val="18"/>
              </w:rPr>
            </w:pPr>
            <w:r>
              <w:rPr>
                <w:rFonts w:hAnsi="宋体"/>
                <w:color w:val="000000"/>
                <w:sz w:val="18"/>
                <w:szCs w:val="18"/>
              </w:rPr>
              <w:t>无拮抗线、高温线；</w:t>
            </w:r>
          </w:p>
        </w:tc>
        <w:tc>
          <w:tcPr>
            <w:tcW w:w="1210" w:type="pct"/>
            <w:vMerge w:val="continue"/>
            <w:shd w:val="clear" w:color="auto" w:fill="auto"/>
            <w:vAlign w:val="center"/>
          </w:tcPr>
          <w:p w14:paraId="5BC3AB07">
            <w:pPr>
              <w:pStyle w:val="230"/>
              <w:ind w:firstLine="0" w:firstLineChars="0"/>
              <w:jc w:val="center"/>
              <w:rPr>
                <w:rFonts w:hAnsi="宋体"/>
                <w:color w:val="000000"/>
                <w:sz w:val="18"/>
                <w:szCs w:val="18"/>
              </w:rPr>
            </w:pPr>
          </w:p>
        </w:tc>
      </w:tr>
      <w:tr w14:paraId="0FAF1D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vMerge w:val="continue"/>
            <w:shd w:val="clear" w:color="auto" w:fill="auto"/>
            <w:vAlign w:val="center"/>
          </w:tcPr>
          <w:p w14:paraId="15745A8E">
            <w:pPr>
              <w:pStyle w:val="230"/>
              <w:ind w:firstLine="0" w:firstLineChars="0"/>
              <w:jc w:val="center"/>
              <w:rPr>
                <w:rFonts w:hAnsi="宋体"/>
                <w:color w:val="000000"/>
                <w:sz w:val="18"/>
                <w:szCs w:val="18"/>
              </w:rPr>
            </w:pPr>
          </w:p>
        </w:tc>
        <w:tc>
          <w:tcPr>
            <w:tcW w:w="2655" w:type="pct"/>
            <w:shd w:val="clear" w:color="auto" w:fill="auto"/>
            <w:vAlign w:val="center"/>
          </w:tcPr>
          <w:p w14:paraId="2BC2A7F8">
            <w:pPr>
              <w:pStyle w:val="230"/>
              <w:ind w:firstLine="0" w:firstLineChars="0"/>
              <w:jc w:val="left"/>
              <w:rPr>
                <w:rFonts w:hAnsi="宋体"/>
                <w:color w:val="000000"/>
                <w:sz w:val="18"/>
                <w:szCs w:val="18"/>
              </w:rPr>
            </w:pPr>
            <w:r>
              <w:rPr>
                <w:rFonts w:hAnsi="宋体"/>
                <w:color w:val="000000"/>
                <w:sz w:val="18"/>
                <w:szCs w:val="18"/>
              </w:rPr>
              <w:t>无菌皮、子实体原基。</w:t>
            </w:r>
          </w:p>
        </w:tc>
        <w:tc>
          <w:tcPr>
            <w:tcW w:w="1210" w:type="pct"/>
            <w:vMerge w:val="continue"/>
            <w:shd w:val="clear" w:color="auto" w:fill="auto"/>
            <w:vAlign w:val="center"/>
          </w:tcPr>
          <w:p w14:paraId="65B29947">
            <w:pPr>
              <w:pStyle w:val="230"/>
              <w:ind w:firstLine="0" w:firstLineChars="0"/>
              <w:jc w:val="center"/>
              <w:rPr>
                <w:rFonts w:hAnsi="宋体"/>
                <w:color w:val="000000"/>
                <w:sz w:val="18"/>
                <w:szCs w:val="18"/>
              </w:rPr>
            </w:pPr>
          </w:p>
        </w:tc>
      </w:tr>
      <w:tr w14:paraId="163FE4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5" w:type="pct"/>
            <w:shd w:val="clear" w:color="auto" w:fill="auto"/>
            <w:vAlign w:val="center"/>
          </w:tcPr>
          <w:p w14:paraId="4C19CF20">
            <w:pPr>
              <w:pStyle w:val="230"/>
              <w:ind w:firstLine="0" w:firstLineChars="0"/>
              <w:jc w:val="center"/>
              <w:rPr>
                <w:rFonts w:hAnsi="宋体"/>
                <w:color w:val="000000"/>
                <w:sz w:val="18"/>
                <w:szCs w:val="18"/>
              </w:rPr>
            </w:pPr>
            <w:r>
              <w:rPr>
                <w:rFonts w:hAnsi="宋体"/>
                <w:color w:val="000000"/>
                <w:sz w:val="18"/>
                <w:szCs w:val="18"/>
              </w:rPr>
              <w:t>微生物学检测</w:t>
            </w:r>
          </w:p>
        </w:tc>
        <w:tc>
          <w:tcPr>
            <w:tcW w:w="2655" w:type="pct"/>
            <w:shd w:val="clear" w:color="auto" w:fill="auto"/>
            <w:vAlign w:val="center"/>
          </w:tcPr>
          <w:p w14:paraId="152BD3AC">
            <w:pPr>
              <w:pStyle w:val="230"/>
              <w:ind w:firstLine="0" w:firstLineChars="0"/>
              <w:jc w:val="left"/>
              <w:rPr>
                <w:rFonts w:hAnsi="宋体"/>
                <w:color w:val="000000"/>
                <w:sz w:val="18"/>
                <w:szCs w:val="18"/>
              </w:rPr>
            </w:pPr>
            <w:r>
              <w:rPr>
                <w:rFonts w:hAnsi="宋体"/>
                <w:color w:val="000000"/>
                <w:sz w:val="18"/>
                <w:szCs w:val="18"/>
              </w:rPr>
              <w:t>菌种萌发，无细菌、酵母、霉菌菌落。</w:t>
            </w:r>
          </w:p>
        </w:tc>
        <w:tc>
          <w:tcPr>
            <w:tcW w:w="1210" w:type="pct"/>
            <w:shd w:val="clear" w:color="auto" w:fill="auto"/>
            <w:vAlign w:val="center"/>
          </w:tcPr>
          <w:p w14:paraId="4D64272E">
            <w:pPr>
              <w:pStyle w:val="230"/>
              <w:ind w:firstLine="0" w:firstLineChars="0"/>
              <w:jc w:val="left"/>
              <w:rPr>
                <w:rFonts w:hAnsi="宋体"/>
                <w:color w:val="000000"/>
                <w:sz w:val="18"/>
                <w:szCs w:val="18"/>
              </w:rPr>
            </w:pPr>
            <w:r>
              <w:rPr>
                <w:rFonts w:hAnsi="宋体"/>
                <w:color w:val="000000"/>
                <w:sz w:val="18"/>
                <w:szCs w:val="18"/>
              </w:rPr>
              <w:t>取样接种PDA平板， 25℃下培养4 d。</w:t>
            </w:r>
          </w:p>
        </w:tc>
      </w:tr>
    </w:tbl>
    <w:p w14:paraId="7E920269">
      <w:pPr>
        <w:pStyle w:val="56"/>
        <w:ind w:firstLine="420"/>
      </w:pPr>
    </w:p>
    <w:p w14:paraId="1233AC27">
      <w:pPr>
        <w:pStyle w:val="56"/>
        <w:ind w:firstLine="420"/>
      </w:pPr>
    </w:p>
    <w:p w14:paraId="66E63E35">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14:paraId="68C2F8A3">
      <w:pPr>
        <w:pStyle w:val="198"/>
        <w:rPr>
          <w:vanish w:val="0"/>
        </w:rPr>
      </w:pPr>
    </w:p>
    <w:p w14:paraId="3D8F4812">
      <w:pPr>
        <w:pStyle w:val="199"/>
        <w:rPr>
          <w:vanish w:val="0"/>
        </w:rPr>
      </w:pPr>
    </w:p>
    <w:p w14:paraId="6A2C8BC9">
      <w:pPr>
        <w:pStyle w:val="76"/>
        <w:spacing w:after="156"/>
      </w:pPr>
      <w:r>
        <w:br w:type="textWrapping"/>
      </w:r>
      <w:r>
        <w:rPr>
          <w:rFonts w:hint="eastAsia"/>
        </w:rPr>
        <w:t>（规范性）</w:t>
      </w:r>
      <w:r>
        <w:br w:type="textWrapping"/>
      </w:r>
      <w:r>
        <w:rPr>
          <w:rFonts w:hint="eastAsia"/>
        </w:rPr>
        <w:t>液体菌种质量要求</w:t>
      </w:r>
    </w:p>
    <w:p w14:paraId="1AD338A3">
      <w:pPr>
        <w:pStyle w:val="56"/>
        <w:ind w:firstLine="420"/>
      </w:pPr>
      <w:r>
        <w:rPr>
          <w:rFonts w:hint="eastAsia"/>
        </w:rPr>
        <w:t>液体菌种质量要求见表B.1。</w:t>
      </w:r>
    </w:p>
    <w:p w14:paraId="6BD391EF">
      <w:pPr>
        <w:pStyle w:val="77"/>
        <w:spacing w:before="156" w:after="156"/>
      </w:pPr>
      <w:r>
        <w:t>液体菌种质量</w:t>
      </w:r>
      <w:r>
        <w:rPr>
          <w:rFonts w:hint="eastAsia"/>
        </w:rPr>
        <w:t>要求</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127"/>
        <w:gridCol w:w="4978"/>
        <w:gridCol w:w="2269"/>
      </w:tblGrid>
      <w:tr w14:paraId="0B5B90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135" w:type="pct"/>
            <w:tcBorders>
              <w:top w:val="single" w:color="auto" w:sz="8" w:space="0"/>
              <w:bottom w:val="single" w:color="auto" w:sz="8" w:space="0"/>
            </w:tcBorders>
            <w:shd w:val="clear" w:color="auto" w:fill="auto"/>
            <w:vAlign w:val="center"/>
          </w:tcPr>
          <w:p w14:paraId="68DD3D93">
            <w:pPr>
              <w:pStyle w:val="230"/>
              <w:ind w:firstLine="0" w:firstLineChars="0"/>
              <w:jc w:val="center"/>
              <w:rPr>
                <w:rFonts w:ascii="Times New Roman" w:eastAsia="黑体"/>
                <w:color w:val="000000"/>
                <w:sz w:val="18"/>
              </w:rPr>
            </w:pPr>
            <w:r>
              <w:rPr>
                <w:rFonts w:ascii="Times New Roman" w:eastAsia="黑体"/>
                <w:color w:val="000000"/>
                <w:sz w:val="18"/>
              </w:rPr>
              <w:t>项目</w:t>
            </w:r>
          </w:p>
        </w:tc>
        <w:tc>
          <w:tcPr>
            <w:tcW w:w="2655" w:type="pct"/>
            <w:tcBorders>
              <w:top w:val="single" w:color="auto" w:sz="8" w:space="0"/>
              <w:bottom w:val="single" w:color="auto" w:sz="8" w:space="0"/>
            </w:tcBorders>
            <w:shd w:val="clear" w:color="auto" w:fill="auto"/>
            <w:vAlign w:val="center"/>
          </w:tcPr>
          <w:p w14:paraId="0A901E07">
            <w:pPr>
              <w:pStyle w:val="230"/>
              <w:ind w:firstLine="0" w:firstLineChars="0"/>
              <w:jc w:val="center"/>
              <w:rPr>
                <w:rFonts w:ascii="Times New Roman" w:eastAsia="黑体"/>
                <w:color w:val="000000"/>
                <w:sz w:val="18"/>
              </w:rPr>
            </w:pPr>
            <w:r>
              <w:rPr>
                <w:rFonts w:ascii="Times New Roman" w:eastAsia="黑体"/>
                <w:color w:val="000000"/>
                <w:sz w:val="18"/>
              </w:rPr>
              <w:t>指标</w:t>
            </w:r>
          </w:p>
        </w:tc>
        <w:tc>
          <w:tcPr>
            <w:tcW w:w="1210" w:type="pct"/>
            <w:tcBorders>
              <w:top w:val="single" w:color="auto" w:sz="8" w:space="0"/>
              <w:bottom w:val="single" w:color="auto" w:sz="8" w:space="0"/>
            </w:tcBorders>
            <w:shd w:val="clear" w:color="auto" w:fill="auto"/>
            <w:vAlign w:val="center"/>
          </w:tcPr>
          <w:p w14:paraId="55DC9C0D">
            <w:pPr>
              <w:pStyle w:val="230"/>
              <w:ind w:firstLine="0" w:firstLineChars="0"/>
              <w:jc w:val="center"/>
              <w:rPr>
                <w:rFonts w:ascii="Times New Roman" w:eastAsia="黑体"/>
                <w:color w:val="000000"/>
                <w:sz w:val="18"/>
              </w:rPr>
            </w:pPr>
            <w:r>
              <w:rPr>
                <w:rFonts w:ascii="Times New Roman" w:eastAsia="黑体"/>
                <w:color w:val="000000"/>
                <w:sz w:val="18"/>
              </w:rPr>
              <w:t>检验方法</w:t>
            </w:r>
          </w:p>
        </w:tc>
      </w:tr>
      <w:tr w14:paraId="63D291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135" w:type="pct"/>
            <w:tcBorders>
              <w:top w:val="single" w:color="auto" w:sz="8" w:space="0"/>
            </w:tcBorders>
            <w:shd w:val="clear" w:color="auto" w:fill="auto"/>
            <w:vAlign w:val="center"/>
          </w:tcPr>
          <w:p w14:paraId="52CA9457">
            <w:pPr>
              <w:pStyle w:val="230"/>
              <w:ind w:firstLine="0" w:firstLineChars="0"/>
              <w:jc w:val="center"/>
              <w:rPr>
                <w:rFonts w:hAnsi="宋体"/>
                <w:color w:val="000000"/>
                <w:sz w:val="18"/>
              </w:rPr>
            </w:pPr>
            <w:r>
              <w:rPr>
                <w:rFonts w:hAnsi="宋体"/>
                <w:color w:val="000000"/>
                <w:sz w:val="18"/>
              </w:rPr>
              <w:t>菌液形态</w:t>
            </w:r>
          </w:p>
        </w:tc>
        <w:tc>
          <w:tcPr>
            <w:tcW w:w="2655" w:type="pct"/>
            <w:tcBorders>
              <w:top w:val="single" w:color="auto" w:sz="8" w:space="0"/>
            </w:tcBorders>
            <w:shd w:val="clear" w:color="auto" w:fill="auto"/>
            <w:vAlign w:val="center"/>
          </w:tcPr>
          <w:p w14:paraId="40A9B6BB">
            <w:pPr>
              <w:pStyle w:val="230"/>
              <w:ind w:firstLine="0" w:firstLineChars="0"/>
              <w:jc w:val="left"/>
              <w:rPr>
                <w:rFonts w:hAnsi="宋体"/>
                <w:color w:val="000000"/>
                <w:sz w:val="18"/>
              </w:rPr>
            </w:pPr>
            <w:r>
              <w:rPr>
                <w:rFonts w:hAnsi="宋体"/>
                <w:color w:val="000000"/>
                <w:sz w:val="18"/>
              </w:rPr>
              <w:t>菌丝球白色，菌液黄褐色；菌丝球大小均匀，浮力好，分散不沉淀。</w:t>
            </w:r>
          </w:p>
        </w:tc>
        <w:tc>
          <w:tcPr>
            <w:tcW w:w="1210" w:type="pct"/>
            <w:tcBorders>
              <w:top w:val="single" w:color="auto" w:sz="8" w:space="0"/>
            </w:tcBorders>
            <w:shd w:val="clear" w:color="auto" w:fill="auto"/>
            <w:vAlign w:val="center"/>
          </w:tcPr>
          <w:p w14:paraId="49D3F7B4">
            <w:pPr>
              <w:pStyle w:val="230"/>
              <w:ind w:firstLine="0" w:firstLineChars="0"/>
              <w:jc w:val="center"/>
              <w:rPr>
                <w:rFonts w:hAnsi="宋体"/>
                <w:color w:val="000000"/>
                <w:sz w:val="18"/>
              </w:rPr>
            </w:pPr>
            <w:r>
              <w:rPr>
                <w:rFonts w:hAnsi="宋体"/>
                <w:color w:val="000000"/>
                <w:sz w:val="18"/>
              </w:rPr>
              <w:t>肉眼观察</w:t>
            </w:r>
          </w:p>
        </w:tc>
      </w:tr>
      <w:tr w14:paraId="3F3421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135" w:type="pct"/>
            <w:shd w:val="clear" w:color="auto" w:fill="auto"/>
            <w:vAlign w:val="center"/>
          </w:tcPr>
          <w:p w14:paraId="20147A31">
            <w:pPr>
              <w:pStyle w:val="230"/>
              <w:ind w:firstLine="0" w:firstLineChars="0"/>
              <w:jc w:val="center"/>
              <w:rPr>
                <w:rFonts w:hAnsi="宋体"/>
                <w:color w:val="000000"/>
                <w:sz w:val="18"/>
              </w:rPr>
            </w:pPr>
            <w:r>
              <w:rPr>
                <w:rFonts w:hAnsi="宋体"/>
                <w:color w:val="000000"/>
                <w:sz w:val="18"/>
              </w:rPr>
              <w:t>菌液气味</w:t>
            </w:r>
          </w:p>
        </w:tc>
        <w:tc>
          <w:tcPr>
            <w:tcW w:w="2655" w:type="pct"/>
            <w:shd w:val="clear" w:color="auto" w:fill="auto"/>
            <w:vAlign w:val="center"/>
          </w:tcPr>
          <w:p w14:paraId="4CA0800B">
            <w:pPr>
              <w:pStyle w:val="230"/>
              <w:ind w:firstLine="0" w:firstLineChars="0"/>
              <w:jc w:val="left"/>
              <w:rPr>
                <w:rFonts w:hAnsi="宋体"/>
                <w:color w:val="000000"/>
                <w:sz w:val="18"/>
              </w:rPr>
            </w:pPr>
            <w:r>
              <w:rPr>
                <w:rFonts w:hAnsi="宋体"/>
                <w:color w:val="000000"/>
                <w:sz w:val="18"/>
              </w:rPr>
              <w:t>无酸、臭、酒精等异味。有菌种香味。</w:t>
            </w:r>
          </w:p>
        </w:tc>
        <w:tc>
          <w:tcPr>
            <w:tcW w:w="1210" w:type="pct"/>
            <w:shd w:val="clear" w:color="auto" w:fill="auto"/>
            <w:vAlign w:val="center"/>
          </w:tcPr>
          <w:p w14:paraId="445D0275">
            <w:pPr>
              <w:pStyle w:val="230"/>
              <w:ind w:firstLine="0" w:firstLineChars="0"/>
              <w:jc w:val="center"/>
              <w:rPr>
                <w:rFonts w:hAnsi="宋体"/>
                <w:color w:val="000000"/>
                <w:sz w:val="18"/>
              </w:rPr>
            </w:pPr>
            <w:r>
              <w:rPr>
                <w:rFonts w:hAnsi="宋体"/>
                <w:color w:val="000000"/>
                <w:sz w:val="18"/>
              </w:rPr>
              <w:t>鼻嗅</w:t>
            </w:r>
          </w:p>
        </w:tc>
      </w:tr>
      <w:tr w14:paraId="12C51B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1135" w:type="pct"/>
            <w:shd w:val="clear" w:color="auto" w:fill="auto"/>
            <w:vAlign w:val="center"/>
          </w:tcPr>
          <w:p w14:paraId="4E04E412">
            <w:pPr>
              <w:pStyle w:val="230"/>
              <w:ind w:firstLine="0" w:firstLineChars="0"/>
              <w:jc w:val="center"/>
              <w:rPr>
                <w:rFonts w:hAnsi="宋体"/>
                <w:color w:val="000000"/>
                <w:sz w:val="18"/>
              </w:rPr>
            </w:pPr>
            <w:r>
              <w:rPr>
                <w:rFonts w:hAnsi="宋体"/>
                <w:color w:val="000000"/>
                <w:sz w:val="18"/>
              </w:rPr>
              <w:t>微生物学检测</w:t>
            </w:r>
          </w:p>
        </w:tc>
        <w:tc>
          <w:tcPr>
            <w:tcW w:w="2655" w:type="pct"/>
            <w:shd w:val="clear" w:color="auto" w:fill="auto"/>
            <w:vAlign w:val="center"/>
          </w:tcPr>
          <w:p w14:paraId="2CAE61E1">
            <w:pPr>
              <w:pStyle w:val="230"/>
              <w:ind w:firstLine="0" w:firstLineChars="0"/>
              <w:jc w:val="left"/>
              <w:rPr>
                <w:rFonts w:hAnsi="宋体"/>
                <w:color w:val="000000"/>
                <w:sz w:val="18"/>
              </w:rPr>
            </w:pPr>
            <w:r>
              <w:rPr>
                <w:rFonts w:hAnsi="宋体"/>
                <w:color w:val="000000"/>
                <w:sz w:val="18"/>
              </w:rPr>
              <w:t>菌球萌发，无细菌、酵母、霉菌菌落。</w:t>
            </w:r>
          </w:p>
        </w:tc>
        <w:tc>
          <w:tcPr>
            <w:tcW w:w="1210" w:type="pct"/>
            <w:shd w:val="clear" w:color="auto" w:fill="auto"/>
            <w:vAlign w:val="center"/>
          </w:tcPr>
          <w:p w14:paraId="38EDB853">
            <w:pPr>
              <w:pStyle w:val="230"/>
              <w:ind w:firstLine="0" w:firstLineChars="0"/>
              <w:jc w:val="left"/>
              <w:rPr>
                <w:rFonts w:hAnsi="宋体"/>
                <w:color w:val="000000"/>
                <w:sz w:val="18"/>
              </w:rPr>
            </w:pPr>
            <w:r>
              <w:rPr>
                <w:rFonts w:hAnsi="宋体"/>
                <w:color w:val="000000"/>
                <w:sz w:val="18"/>
              </w:rPr>
              <w:t>取样接种PDA平板， 25℃下培养48 h。</w:t>
            </w:r>
          </w:p>
        </w:tc>
      </w:tr>
    </w:tbl>
    <w:p w14:paraId="68B908AE">
      <w:pPr>
        <w:pStyle w:val="56"/>
        <w:ind w:firstLine="420"/>
      </w:pPr>
    </w:p>
    <w:p w14:paraId="2EDED9B7">
      <w:pPr>
        <w:pStyle w:val="56"/>
        <w:ind w:firstLine="420"/>
      </w:pPr>
    </w:p>
    <w:bookmarkEnd w:id="44"/>
    <w:p w14:paraId="1A072DA1">
      <w:pPr>
        <w:pStyle w:val="56"/>
        <w:ind w:firstLine="0" w:firstLineChars="0"/>
        <w:jc w:val="center"/>
      </w:pPr>
      <w:bookmarkStart w:id="45" w:name="BookMark8"/>
      <w:r>
        <w:drawing>
          <wp:inline distT="0" distB="0" distL="0" distR="0">
            <wp:extent cx="1485900" cy="317500"/>
            <wp:effectExtent l="0" t="0" r="0" b="6350"/>
            <wp:docPr id="221818863" name="图片 1"/>
            <wp:cNvGraphicFramePr/>
            <a:graphic xmlns:a="http://schemas.openxmlformats.org/drawingml/2006/main">
              <a:graphicData uri="http://schemas.openxmlformats.org/drawingml/2006/picture">
                <pic:pic xmlns:pic="http://schemas.openxmlformats.org/drawingml/2006/picture">
                  <pic:nvPicPr>
                    <pic:cNvPr id="221818863"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CCDB3">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F3B4B">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F3A6A">
    <w:pPr>
      <w:pStyle w:val="51"/>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BCD6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1385A">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35635">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E1B8A">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1D093">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EA136">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2083">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32BA">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FF26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7F9A6">
    <w:pPr>
      <w:pStyle w:val="61"/>
    </w:pPr>
    <w:r>
      <w:fldChar w:fldCharType="begin"/>
    </w:r>
    <w:r>
      <w:instrText xml:space="preserve"> STYLEREF  标准文件_文件编号  \* MERGEFORMAT </w:instrText>
    </w:r>
    <w:r>
      <w:fldChar w:fldCharType="separate"/>
    </w:r>
    <w:r>
      <w:t>DB32/T XXXX—2024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ABFC5">
    <w:pPr>
      <w:pStyle w:val="62"/>
    </w:pPr>
    <w:r>
      <w:fldChar w:fldCharType="begin"/>
    </w:r>
    <w:r>
      <w:instrText xml:space="preserve"> STYLEREF  标准文件_文件编号 \* MERGEFORMAT </w:instrText>
    </w:r>
    <w:r>
      <w:fldChar w:fldCharType="separate"/>
    </w:r>
    <w:r>
      <w:t>DB32/T XXXX—2024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B0A4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FFD7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620C5">
    <w:pPr>
      <w:pStyle w:val="61"/>
    </w:pPr>
    <w:r>
      <w:fldChar w:fldCharType="begin"/>
    </w:r>
    <w:r>
      <w:instrText xml:space="preserve"> STYLEREF  标准文件_文件编号  \* MERGEFORMAT </w:instrText>
    </w:r>
    <w:r>
      <w:fldChar w:fldCharType="separate"/>
    </w:r>
    <w:r>
      <w:t>DB32/T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9E86B">
    <w:pPr>
      <w:pStyle w:val="62"/>
    </w:pPr>
    <w:r>
      <w:fldChar w:fldCharType="begin"/>
    </w:r>
    <w:r>
      <w:instrText xml:space="preserve"> STYLEREF  标准文件_文件编号 \* MERGEFORMAT </w:instrText>
    </w:r>
    <w:r>
      <w:fldChar w:fldCharType="separate"/>
    </w:r>
    <w:r>
      <w:t>DB32/T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58F07">
    <w:pPr>
      <w:pStyle w:val="61"/>
    </w:pPr>
    <w:r>
      <w:fldChar w:fldCharType="begin"/>
    </w:r>
    <w:r>
      <w:instrText xml:space="preserve"> STYLEREF  标准文件_文件编号  \* MERGEFORMAT </w:instrText>
    </w:r>
    <w:r>
      <w:fldChar w:fldCharType="separate"/>
    </w:r>
    <w:r>
      <w:t>DB32/T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68D34">
    <w:pPr>
      <w:pStyle w:val="62"/>
    </w:pPr>
    <w:r>
      <w:fldChar w:fldCharType="begin"/>
    </w:r>
    <w:r>
      <w:instrText xml:space="preserve"> STYLEREF  标准文件_文件编号 \* MERGEFORMAT </w:instrText>
    </w:r>
    <w:r>
      <w:fldChar w:fldCharType="separate"/>
    </w:r>
    <w:r>
      <w:t>DB32/T XXXX—2024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4AFF6">
    <w:pPr>
      <w:pStyle w:val="61"/>
    </w:pPr>
    <w:r>
      <w:fldChar w:fldCharType="begin"/>
    </w:r>
    <w:r>
      <w:instrText xml:space="preserve"> STYLEREF  标准文件_文件编号  \* MERGEFORMAT </w:instrText>
    </w:r>
    <w:r>
      <w:fldChar w:fldCharType="separate"/>
    </w:r>
    <w:r>
      <w:t>DB32/T XXXX—2024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D8461">
    <w:pPr>
      <w:pStyle w:val="62"/>
    </w:pPr>
    <w:r>
      <w:fldChar w:fldCharType="begin"/>
    </w:r>
    <w:r>
      <w:instrText xml:space="preserve"> STYLEREF  标准文件_文件编号 \* MERGEFORMAT </w:instrText>
    </w:r>
    <w:r>
      <w:fldChar w:fldCharType="separate"/>
    </w:r>
    <w:r>
      <w:t>DB32/T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82390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039"/>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962"/>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C49"/>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7A5C"/>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DCC"/>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AC3"/>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63D"/>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484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D2F"/>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2AEE"/>
    <w:rsid w:val="00714F58"/>
    <w:rsid w:val="00722FBF"/>
    <w:rsid w:val="00722FC2"/>
    <w:rsid w:val="00724879"/>
    <w:rsid w:val="00724E1B"/>
    <w:rsid w:val="00725949"/>
    <w:rsid w:val="00725952"/>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DF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065"/>
    <w:rsid w:val="007959E8"/>
    <w:rsid w:val="00795E9C"/>
    <w:rsid w:val="007A0521"/>
    <w:rsid w:val="007A2E12"/>
    <w:rsid w:val="007A3475"/>
    <w:rsid w:val="007A41C8"/>
    <w:rsid w:val="007A54CE"/>
    <w:rsid w:val="007A6FD9"/>
    <w:rsid w:val="007A7875"/>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90F"/>
    <w:rsid w:val="00823A9F"/>
    <w:rsid w:val="00823C85"/>
    <w:rsid w:val="00825138"/>
    <w:rsid w:val="008269DD"/>
    <w:rsid w:val="00830621"/>
    <w:rsid w:val="0083348C"/>
    <w:rsid w:val="008373D3"/>
    <w:rsid w:val="00840617"/>
    <w:rsid w:val="00840F84"/>
    <w:rsid w:val="00842A47"/>
    <w:rsid w:val="00843C13"/>
    <w:rsid w:val="008454F8"/>
    <w:rsid w:val="0085173A"/>
    <w:rsid w:val="0085526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6BAF"/>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5F89"/>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619"/>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713"/>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C80"/>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077"/>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D8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BC42E0"/>
    <w:rsid w:val="41CD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Revision"/>
    <w:hidden/>
    <w:semiHidden/>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CB91AA7DE93490BB9BADDE3C1AF302C"/>
        <w:style w:val=""/>
        <w:category>
          <w:name w:val="常规"/>
          <w:gallery w:val="placeholder"/>
        </w:category>
        <w:types>
          <w:type w:val="bbPlcHdr"/>
        </w:types>
        <w:behaviors>
          <w:behavior w:val="content"/>
        </w:behaviors>
        <w:description w:val=""/>
        <w:guid w:val="{D0821C0C-3D39-483B-8713-18883B8A8093}"/>
      </w:docPartPr>
      <w:docPartBody>
        <w:p w14:paraId="7FA30D7C">
          <w:pPr>
            <w:pStyle w:val="5"/>
          </w:pPr>
          <w:r>
            <w:rPr>
              <w:rStyle w:val="4"/>
              <w:rFonts w:hint="eastAsia"/>
            </w:rPr>
            <w:t>单击或点击此处输入文字。</w:t>
          </w:r>
        </w:p>
      </w:docPartBody>
    </w:docPart>
    <w:docPart>
      <w:docPartPr>
        <w:name w:val="0D95FE40D6BF4F449C3BCCDC59DDBC88"/>
        <w:style w:val=""/>
        <w:category>
          <w:name w:val="常规"/>
          <w:gallery w:val="placeholder"/>
        </w:category>
        <w:types>
          <w:type w:val="bbPlcHdr"/>
        </w:types>
        <w:behaviors>
          <w:behavior w:val="content"/>
        </w:behaviors>
        <w:description w:val=""/>
        <w:guid w:val="{B2FBB5F4-91DA-4F27-B240-FCF6D5B51803}"/>
      </w:docPartPr>
      <w:docPartBody>
        <w:p w14:paraId="4A80DBCB">
          <w:pPr>
            <w:pStyle w:val="6"/>
          </w:pPr>
          <w:r>
            <w:rPr>
              <w:rStyle w:val="4"/>
              <w:rFonts w:hint="eastAsia"/>
            </w:rPr>
            <w:t>选择一项。</w:t>
          </w:r>
        </w:p>
      </w:docPartBody>
    </w:docPart>
    <w:docPart>
      <w:docPartPr>
        <w:name w:val="8C1D2A151A7B402BBEB10C1A9C4C41C6"/>
        <w:style w:val=""/>
        <w:category>
          <w:name w:val="常规"/>
          <w:gallery w:val="placeholder"/>
        </w:category>
        <w:types>
          <w:type w:val="bbPlcHdr"/>
        </w:types>
        <w:behaviors>
          <w:behavior w:val="content"/>
        </w:behaviors>
        <w:description w:val=""/>
        <w:guid w:val="{0ED11A74-0E1F-416A-B484-562B77E2F553}"/>
      </w:docPartPr>
      <w:docPartBody>
        <w:p w14:paraId="4923E9C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854"/>
    <w:rsid w:val="00522248"/>
    <w:rsid w:val="00786065"/>
    <w:rsid w:val="008F18CE"/>
    <w:rsid w:val="00C51A44"/>
    <w:rsid w:val="00F97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CB91AA7DE93490BB9BADDE3C1AF302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0D95FE40D6BF4F449C3BCCDC59DDBC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8C1D2A151A7B402BBEB10C1A9C4C41C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16EC60-EE18-4E4B-9C64-239F6E174C0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10</Pages>
  <Words>2307</Words>
  <Characters>2696</Characters>
  <Lines>23</Lines>
  <Paragraphs>6</Paragraphs>
  <TotalTime>42</TotalTime>
  <ScaleCrop>false</ScaleCrop>
  <LinksUpToDate>false</LinksUpToDate>
  <CharactersWithSpaces>2802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2024-07-12T02:20:00Z</dcterms:created>
  <dc:creator>0</dc:creator>
  <dc:description>&lt;config cover="true" show_menu="true" version="1.0.0" doctype="SDKXY"&gt;_x000d_
&lt;/config&gt;</dc:description>
  <cp:lastModifiedBy>mmme</cp:lastModifiedBy>
  <cp:lastPrinted>2020-08-30T10:00:00Z</cp:lastPrinted>
  <dcterms:modified xsi:type="dcterms:W3CDTF">2024-08-01T09:22:28Z</dcterms:modified>
  <dc:title>地方标准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4D9290C460D449829EA0FD504CDAF275_13</vt:lpwstr>
  </property>
</Properties>
</file>